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both"/>
        <w:rPr>
          <w:rFonts w:ascii="黑体" w:hAnsi="黑体" w:eastAsia="黑体" w:cs="Times New Roman"/>
          <w:kern w:val="2"/>
          <w:sz w:val="30"/>
          <w:szCs w:val="30"/>
        </w:rPr>
      </w:pPr>
      <w:r>
        <w:rPr>
          <w:rFonts w:hint="eastAsia" w:ascii="黑体" w:hAnsi="黑体" w:eastAsia="黑体" w:cs="Times New Roman"/>
          <w:kern w:val="2"/>
          <w:sz w:val="30"/>
          <w:szCs w:val="30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黑体" w:hAnsi="黑体" w:eastAsia="黑体" w:cs="Times New Roman"/>
          <w:kern w:val="2"/>
          <w:sz w:val="30"/>
          <w:szCs w:val="30"/>
        </w:rPr>
        <w:t>附件1：</w:t>
      </w:r>
    </w:p>
    <w:p>
      <w:pPr>
        <w:widowControl w:val="0"/>
        <w:adjustRightInd/>
        <w:snapToGrid/>
        <w:spacing w:after="0"/>
        <w:ind w:firstLine="567" w:firstLineChars="189"/>
        <w:jc w:val="both"/>
        <w:rPr>
          <w:rFonts w:ascii="宋体" w:hAnsi="宋体" w:eastAsia="宋体" w:cs="Times New Roman"/>
          <w:kern w:val="2"/>
          <w:sz w:val="30"/>
          <w:szCs w:val="30"/>
        </w:rPr>
      </w:pPr>
      <w:r>
        <w:rPr>
          <w:rFonts w:hint="eastAsia" w:ascii="宋体" w:hAnsi="宋体" w:eastAsia="宋体" w:cs="Times New Roman"/>
          <w:kern w:val="2"/>
          <w:sz w:val="30"/>
          <w:szCs w:val="30"/>
        </w:rPr>
        <w:t>第十二届“绿缘杯”国防知识竞赛比赛细则</w:t>
      </w:r>
    </w:p>
    <w:p>
      <w:pPr>
        <w:widowControl w:val="0"/>
        <w:tabs>
          <w:tab w:val="left" w:pos="1150"/>
        </w:tabs>
        <w:adjustRightInd/>
        <w:snapToGrid/>
        <w:spacing w:after="0"/>
        <w:ind w:firstLine="567" w:firstLineChars="189"/>
        <w:jc w:val="both"/>
        <w:rPr>
          <w:rFonts w:ascii="黑体" w:hAnsi="黑体" w:eastAsia="黑体" w:cs="Times New Roman"/>
          <w:kern w:val="2"/>
          <w:sz w:val="30"/>
          <w:szCs w:val="30"/>
        </w:rPr>
      </w:pPr>
      <w:r>
        <w:rPr>
          <w:rFonts w:hint="eastAsia" w:ascii="黑体" w:hAnsi="黑体" w:eastAsia="黑体" w:cs="Times New Roman"/>
          <w:kern w:val="2"/>
          <w:sz w:val="30"/>
          <w:szCs w:val="30"/>
        </w:rPr>
        <w:t>一、关于报名</w:t>
      </w:r>
    </w:p>
    <w:p>
      <w:pPr>
        <w:pStyle w:val="10"/>
        <w:widowControl w:val="0"/>
        <w:adjustRightInd/>
        <w:snapToGrid/>
        <w:spacing w:after="0"/>
        <w:ind w:firstLine="567" w:firstLineChars="189"/>
        <w:jc w:val="both"/>
        <w:rPr>
          <w:rFonts w:ascii="宋体" w:hAnsi="宋体" w:eastAsia="宋体" w:cs="Times New Roman"/>
          <w:kern w:val="2"/>
          <w:sz w:val="30"/>
          <w:szCs w:val="30"/>
        </w:rPr>
      </w:pPr>
      <w:r>
        <w:rPr>
          <w:rFonts w:hint="eastAsia" w:ascii="宋体" w:hAnsi="宋体" w:eastAsia="宋体" w:cs="Times New Roman"/>
          <w:kern w:val="2"/>
          <w:sz w:val="30"/>
          <w:szCs w:val="30"/>
        </w:rPr>
        <w:t>各学院统一统计报名参加的同学名单（包括姓名、班级、联系方式）；</w:t>
      </w:r>
    </w:p>
    <w:p>
      <w:pPr>
        <w:pStyle w:val="10"/>
        <w:widowControl w:val="0"/>
        <w:adjustRightInd/>
        <w:snapToGrid/>
        <w:spacing w:after="0"/>
        <w:ind w:left="2" w:firstLine="567" w:firstLineChars="189"/>
        <w:jc w:val="both"/>
        <w:rPr>
          <w:rFonts w:ascii="宋体" w:hAnsi="宋体" w:eastAsia="宋体" w:cs="Times New Roman"/>
          <w:kern w:val="2"/>
          <w:sz w:val="30"/>
          <w:szCs w:val="30"/>
          <w:u w:val="single"/>
        </w:rPr>
      </w:pPr>
      <w:r>
        <w:rPr>
          <w:rFonts w:hint="eastAsia" w:ascii="宋体" w:hAnsi="宋体" w:eastAsia="宋体" w:cs="Times New Roman"/>
          <w:kern w:val="2"/>
          <w:sz w:val="30"/>
          <w:szCs w:val="30"/>
        </w:rPr>
        <w:t>各学院统计完本院的参赛队员后将整理好的报名表于2016年4月11日19:00前发至国防教育办公室邮箱lvyuanzhijia2000@163.com</w:t>
      </w:r>
    </w:p>
    <w:p>
      <w:pPr>
        <w:widowControl w:val="0"/>
        <w:tabs>
          <w:tab w:val="left" w:pos="1150"/>
        </w:tabs>
        <w:adjustRightInd/>
        <w:snapToGrid/>
        <w:spacing w:after="0"/>
        <w:ind w:firstLine="567" w:firstLineChars="189"/>
        <w:jc w:val="both"/>
        <w:rPr>
          <w:rFonts w:ascii="黑体" w:hAnsi="黑体" w:eastAsia="黑体" w:cs="Times New Roman"/>
          <w:kern w:val="2"/>
          <w:sz w:val="30"/>
          <w:szCs w:val="30"/>
        </w:rPr>
      </w:pPr>
      <w:r>
        <w:rPr>
          <w:rFonts w:hint="eastAsia" w:ascii="黑体" w:hAnsi="黑体" w:eastAsia="黑体" w:cs="Times New Roman"/>
          <w:kern w:val="2"/>
          <w:sz w:val="30"/>
          <w:szCs w:val="30"/>
        </w:rPr>
        <w:t>二、关于笔试初赛：</w:t>
      </w:r>
    </w:p>
    <w:p>
      <w:pPr>
        <w:widowControl w:val="0"/>
        <w:adjustRightInd/>
        <w:snapToGrid/>
        <w:spacing w:after="0"/>
        <w:ind w:firstLine="567" w:firstLineChars="189"/>
        <w:jc w:val="both"/>
        <w:rPr>
          <w:rFonts w:ascii="宋体" w:hAnsi="宋体" w:eastAsia="宋体" w:cs="Times New Roman"/>
          <w:kern w:val="2"/>
          <w:sz w:val="30"/>
          <w:szCs w:val="30"/>
        </w:rPr>
      </w:pPr>
      <w:r>
        <w:rPr>
          <w:rFonts w:hint="eastAsia" w:ascii="宋体" w:hAnsi="宋体" w:eastAsia="宋体" w:cs="Times New Roman"/>
          <w:kern w:val="2"/>
          <w:sz w:val="30"/>
          <w:szCs w:val="30"/>
        </w:rPr>
        <w:t>1、笔试初赛题目由单项选择题、多项选择题、填空题和判断题组成，试题在确定后打印，保密封存；</w:t>
      </w:r>
    </w:p>
    <w:p>
      <w:pPr>
        <w:widowControl w:val="0"/>
        <w:adjustRightInd/>
        <w:snapToGrid/>
        <w:spacing w:after="0"/>
        <w:ind w:firstLine="567" w:firstLineChars="189"/>
        <w:jc w:val="both"/>
        <w:rPr>
          <w:rFonts w:ascii="宋体" w:hAnsi="宋体" w:eastAsia="宋体" w:cs="Times New Roman"/>
          <w:kern w:val="2"/>
          <w:sz w:val="30"/>
          <w:szCs w:val="30"/>
        </w:rPr>
      </w:pPr>
      <w:r>
        <w:rPr>
          <w:rFonts w:hint="eastAsia" w:ascii="宋体" w:hAnsi="宋体" w:eastAsia="宋体" w:cs="Times New Roman"/>
          <w:kern w:val="2"/>
          <w:sz w:val="30"/>
          <w:szCs w:val="30"/>
        </w:rPr>
        <w:t>2、监考人员在赛前</w:t>
      </w:r>
      <w:r>
        <w:rPr>
          <w:rFonts w:hint="eastAsia" w:ascii="Times New Roman" w:hAnsi="Times New Roman" w:eastAsia="宋体" w:cs="Times New Roman"/>
          <w:kern w:val="2"/>
          <w:sz w:val="30"/>
          <w:szCs w:val="30"/>
        </w:rPr>
        <w:t>30</w:t>
      </w:r>
      <w:r>
        <w:rPr>
          <w:rFonts w:hint="eastAsia" w:ascii="宋体" w:hAnsi="宋体" w:eastAsia="宋体" w:cs="Times New Roman"/>
          <w:kern w:val="2"/>
          <w:sz w:val="30"/>
          <w:szCs w:val="30"/>
        </w:rPr>
        <w:t>分钟领取试卷，赛前</w:t>
      </w:r>
      <w:r>
        <w:rPr>
          <w:rFonts w:hint="eastAsia" w:ascii="Times New Roman" w:hAnsi="Times New Roman" w:eastAsia="宋体" w:cs="Times New Roman"/>
          <w:kern w:val="2"/>
          <w:sz w:val="30"/>
          <w:szCs w:val="30"/>
        </w:rPr>
        <w:t>15</w:t>
      </w:r>
      <w:r>
        <w:rPr>
          <w:rFonts w:hint="eastAsia" w:ascii="宋体" w:hAnsi="宋体" w:eastAsia="宋体" w:cs="Times New Roman"/>
          <w:kern w:val="2"/>
          <w:sz w:val="30"/>
          <w:szCs w:val="30"/>
        </w:rPr>
        <w:t>分钟到赛场，赛前</w:t>
      </w:r>
      <w:r>
        <w:rPr>
          <w:rFonts w:hint="eastAsia" w:ascii="Times New Roman" w:hAnsi="Times New Roman" w:eastAsia="宋体" w:cs="Times New Roman"/>
          <w:kern w:val="2"/>
          <w:sz w:val="30"/>
          <w:szCs w:val="30"/>
        </w:rPr>
        <w:t>5</w:t>
      </w:r>
      <w:r>
        <w:rPr>
          <w:rFonts w:hint="eastAsia" w:ascii="宋体" w:hAnsi="宋体" w:eastAsia="宋体" w:cs="Times New Roman"/>
          <w:kern w:val="2"/>
          <w:sz w:val="30"/>
          <w:szCs w:val="30"/>
        </w:rPr>
        <w:t>分钟宣布赛场纪律，然后发放试卷，</w:t>
      </w:r>
      <w:r>
        <w:rPr>
          <w:rFonts w:hint="eastAsia" w:ascii="Times New Roman" w:hAnsi="Times New Roman" w:eastAsia="宋体" w:cs="Times New Roman"/>
          <w:kern w:val="2"/>
          <w:sz w:val="30"/>
          <w:szCs w:val="30"/>
        </w:rPr>
        <w:t>14:30</w:t>
      </w:r>
      <w:r>
        <w:rPr>
          <w:rFonts w:hint="eastAsia" w:ascii="宋体" w:hAnsi="宋体" w:eastAsia="宋体" w:cs="Times New Roman"/>
          <w:kern w:val="2"/>
          <w:sz w:val="30"/>
          <w:szCs w:val="30"/>
        </w:rPr>
        <w:t>准时开始比赛；</w:t>
      </w:r>
    </w:p>
    <w:p>
      <w:pPr>
        <w:widowControl w:val="0"/>
        <w:adjustRightInd/>
        <w:snapToGrid/>
        <w:spacing w:after="0"/>
        <w:ind w:firstLine="564" w:firstLineChars="188"/>
        <w:jc w:val="both"/>
        <w:rPr>
          <w:rFonts w:ascii="宋体" w:hAnsi="宋体" w:eastAsia="宋体" w:cs="Times New Roman"/>
          <w:kern w:val="2"/>
          <w:sz w:val="30"/>
          <w:szCs w:val="30"/>
        </w:rPr>
      </w:pPr>
      <w:r>
        <w:rPr>
          <w:rFonts w:hint="eastAsia" w:ascii="宋体" w:hAnsi="宋体" w:eastAsia="宋体" w:cs="Times New Roman"/>
          <w:kern w:val="2"/>
          <w:sz w:val="30"/>
          <w:szCs w:val="30"/>
        </w:rPr>
        <w:t>3、参赛选手提前</w:t>
      </w:r>
      <w:r>
        <w:rPr>
          <w:rFonts w:hint="eastAsia" w:ascii="Times New Roman" w:hAnsi="Times New Roman" w:eastAsia="宋体" w:cs="Times New Roman"/>
          <w:kern w:val="2"/>
          <w:sz w:val="30"/>
          <w:szCs w:val="30"/>
        </w:rPr>
        <w:t>15</w:t>
      </w:r>
      <w:r>
        <w:rPr>
          <w:rFonts w:hint="eastAsia" w:ascii="宋体" w:hAnsi="宋体" w:eastAsia="宋体" w:cs="Times New Roman"/>
          <w:kern w:val="2"/>
          <w:sz w:val="30"/>
          <w:szCs w:val="30"/>
        </w:rPr>
        <w:t>分钟入场，并把有关物品放在指定位置，开赛</w:t>
      </w:r>
      <w:r>
        <w:rPr>
          <w:rFonts w:hint="eastAsia" w:ascii="Times New Roman" w:hAnsi="Times New Roman" w:eastAsia="宋体" w:cs="Times New Roman"/>
          <w:kern w:val="2"/>
          <w:sz w:val="30"/>
          <w:szCs w:val="30"/>
        </w:rPr>
        <w:t>30</w:t>
      </w:r>
      <w:r>
        <w:rPr>
          <w:rFonts w:hint="eastAsia" w:ascii="宋体" w:hAnsi="宋体" w:eastAsia="宋体" w:cs="Times New Roman"/>
          <w:kern w:val="2"/>
          <w:sz w:val="30"/>
          <w:szCs w:val="30"/>
        </w:rPr>
        <w:t>分钟后谢绝入场</w:t>
      </w:r>
      <w:r>
        <w:rPr>
          <w:rFonts w:hint="eastAsia" w:ascii="Times New Roman" w:hAnsi="Times New Roman" w:eastAsia="宋体" w:cs="Times New Roman"/>
          <w:kern w:val="2"/>
          <w:sz w:val="30"/>
          <w:szCs w:val="30"/>
        </w:rPr>
        <w:t>；</w:t>
      </w:r>
    </w:p>
    <w:p>
      <w:pPr>
        <w:widowControl w:val="0"/>
        <w:adjustRightInd/>
        <w:snapToGrid/>
        <w:spacing w:after="0"/>
        <w:ind w:firstLine="567" w:firstLineChars="189"/>
        <w:jc w:val="both"/>
        <w:rPr>
          <w:rFonts w:ascii="宋体" w:hAnsi="宋体" w:eastAsia="宋体" w:cs="Times New Roman"/>
          <w:kern w:val="2"/>
          <w:sz w:val="30"/>
          <w:szCs w:val="30"/>
        </w:rPr>
      </w:pPr>
      <w:r>
        <w:rPr>
          <w:rFonts w:hint="eastAsia" w:ascii="宋体" w:hAnsi="宋体" w:eastAsia="宋体" w:cs="Times New Roman"/>
          <w:kern w:val="2"/>
          <w:sz w:val="30"/>
          <w:szCs w:val="30"/>
        </w:rPr>
        <w:t>4、做题时间为</w:t>
      </w:r>
      <w:r>
        <w:rPr>
          <w:rFonts w:hint="eastAsia" w:ascii="Times New Roman" w:hAnsi="Times New Roman" w:eastAsia="宋体" w:cs="Times New Roman"/>
          <w:kern w:val="2"/>
          <w:sz w:val="30"/>
          <w:szCs w:val="30"/>
        </w:rPr>
        <w:t>90</w:t>
      </w:r>
      <w:r>
        <w:rPr>
          <w:rFonts w:hint="eastAsia" w:ascii="宋体" w:hAnsi="宋体" w:eastAsia="宋体" w:cs="Times New Roman"/>
          <w:kern w:val="2"/>
          <w:sz w:val="30"/>
          <w:szCs w:val="30"/>
        </w:rPr>
        <w:t>分钟，无姓名单位的试卷成绩无效，考场作弊者成绩无效</w:t>
      </w:r>
      <w:r>
        <w:rPr>
          <w:rFonts w:hint="eastAsia" w:ascii="Times New Roman" w:hAnsi="Times New Roman" w:eastAsia="宋体" w:cs="Times New Roman"/>
          <w:kern w:val="2"/>
          <w:sz w:val="30"/>
          <w:szCs w:val="30"/>
        </w:rPr>
        <w:t>；</w:t>
      </w:r>
    </w:p>
    <w:p>
      <w:pPr>
        <w:widowControl w:val="0"/>
        <w:adjustRightInd/>
        <w:snapToGrid/>
        <w:spacing w:after="0"/>
        <w:ind w:firstLine="567" w:firstLineChars="189"/>
        <w:jc w:val="both"/>
        <w:rPr>
          <w:rFonts w:ascii="宋体" w:hAnsi="宋体" w:eastAsia="宋体" w:cs="Times New Roman"/>
          <w:kern w:val="2"/>
          <w:sz w:val="30"/>
          <w:szCs w:val="30"/>
        </w:rPr>
      </w:pPr>
      <w:r>
        <w:rPr>
          <w:rFonts w:hint="eastAsia" w:ascii="宋体" w:hAnsi="宋体" w:eastAsia="宋体" w:cs="Times New Roman"/>
          <w:kern w:val="2"/>
          <w:sz w:val="30"/>
          <w:szCs w:val="30"/>
        </w:rPr>
        <w:t>5、笔试结束后，由工作人员回收试卷并密封保存；</w:t>
      </w:r>
    </w:p>
    <w:p>
      <w:pPr>
        <w:widowControl w:val="0"/>
        <w:adjustRightInd/>
        <w:snapToGrid/>
        <w:spacing w:after="0"/>
        <w:ind w:firstLine="567" w:firstLineChars="189"/>
        <w:jc w:val="both"/>
        <w:rPr>
          <w:rFonts w:ascii="宋体" w:hAnsi="宋体" w:eastAsia="宋体" w:cs="Times New Roman"/>
          <w:kern w:val="2"/>
          <w:sz w:val="30"/>
          <w:szCs w:val="30"/>
        </w:rPr>
      </w:pPr>
      <w:r>
        <w:rPr>
          <w:rFonts w:hint="eastAsia" w:ascii="宋体" w:hAnsi="宋体" w:eastAsia="宋体" w:cs="Times New Roman"/>
          <w:kern w:val="2"/>
          <w:sz w:val="30"/>
          <w:szCs w:val="30"/>
        </w:rPr>
        <w:t>6、评阅方法：以学院为单位回收试卷并登录成绩。</w:t>
      </w:r>
    </w:p>
    <w:p>
      <w:pPr>
        <w:widowControl w:val="0"/>
        <w:tabs>
          <w:tab w:val="left" w:pos="1150"/>
        </w:tabs>
        <w:adjustRightInd/>
        <w:snapToGrid/>
        <w:spacing w:after="0"/>
        <w:ind w:firstLine="567" w:firstLineChars="189"/>
        <w:jc w:val="both"/>
        <w:rPr>
          <w:rFonts w:ascii="黑体" w:hAnsi="黑体" w:eastAsia="黑体" w:cs="Times New Roman"/>
          <w:kern w:val="2"/>
          <w:sz w:val="30"/>
          <w:szCs w:val="30"/>
        </w:rPr>
      </w:pPr>
      <w:r>
        <w:rPr>
          <w:rFonts w:hint="eastAsia" w:ascii="黑体" w:hAnsi="黑体" w:eastAsia="黑体" w:cs="Times New Roman"/>
          <w:kern w:val="2"/>
          <w:sz w:val="30"/>
          <w:szCs w:val="30"/>
        </w:rPr>
        <w:t>三、关于决赛组队及选拔规则：</w:t>
      </w:r>
    </w:p>
    <w:p>
      <w:pPr>
        <w:widowControl w:val="0"/>
        <w:adjustRightInd/>
        <w:snapToGrid/>
        <w:spacing w:after="0"/>
        <w:ind w:firstLine="567" w:firstLineChars="189"/>
        <w:jc w:val="both"/>
        <w:rPr>
          <w:rFonts w:ascii="宋体" w:hAnsi="宋体" w:eastAsia="宋体" w:cs="Times New Roman"/>
          <w:kern w:val="2"/>
          <w:sz w:val="30"/>
          <w:szCs w:val="30"/>
        </w:rPr>
      </w:pPr>
      <w:r>
        <w:rPr>
          <w:rFonts w:hint="eastAsia" w:ascii="宋体" w:hAnsi="宋体" w:eastAsia="宋体" w:cs="Times New Roman"/>
          <w:kern w:val="2"/>
          <w:sz w:val="30"/>
          <w:szCs w:val="30"/>
        </w:rPr>
        <w:t>1、参加决赛的学院代表队由三名选手组成；</w:t>
      </w:r>
    </w:p>
    <w:p>
      <w:pPr>
        <w:widowControl w:val="0"/>
        <w:adjustRightInd/>
        <w:snapToGrid/>
        <w:spacing w:after="0"/>
        <w:ind w:firstLine="567" w:firstLineChars="189"/>
        <w:jc w:val="both"/>
        <w:rPr>
          <w:rFonts w:ascii="宋体" w:hAnsi="宋体" w:eastAsia="宋体" w:cs="Times New Roman"/>
          <w:kern w:val="2"/>
          <w:sz w:val="30"/>
          <w:szCs w:val="30"/>
        </w:rPr>
      </w:pPr>
      <w:r>
        <w:rPr>
          <w:rFonts w:hint="eastAsia" w:ascii="宋体" w:hAnsi="宋体" w:eastAsia="宋体" w:cs="Times New Roman"/>
          <w:kern w:val="2"/>
          <w:sz w:val="30"/>
          <w:szCs w:val="30"/>
        </w:rPr>
        <w:t>2、各学院笔试初赛得分前三名的选手组成该学院代表队；</w:t>
      </w:r>
    </w:p>
    <w:p>
      <w:pPr>
        <w:widowControl w:val="0"/>
        <w:adjustRightInd/>
        <w:snapToGrid/>
        <w:spacing w:after="0"/>
        <w:ind w:firstLine="567" w:firstLineChars="189"/>
        <w:jc w:val="both"/>
        <w:rPr>
          <w:rFonts w:ascii="宋体" w:hAnsi="宋体" w:eastAsia="宋体" w:cs="Times New Roman"/>
          <w:kern w:val="2"/>
          <w:sz w:val="30"/>
          <w:szCs w:val="30"/>
        </w:rPr>
      </w:pPr>
      <w:r>
        <w:rPr>
          <w:rFonts w:hint="eastAsia" w:ascii="宋体" w:hAnsi="宋体" w:eastAsia="宋体" w:cs="Times New Roman"/>
          <w:kern w:val="2"/>
          <w:sz w:val="30"/>
          <w:szCs w:val="30"/>
        </w:rPr>
        <w:t>3、各学院笔试初赛得分前三名的选手成绩之和为该学院初赛总成绩，初赛总成绩前四名的学院代表队进入决赛；</w:t>
      </w:r>
    </w:p>
    <w:p>
      <w:pPr>
        <w:widowControl w:val="0"/>
        <w:adjustRightInd/>
        <w:snapToGrid/>
        <w:spacing w:after="0"/>
        <w:ind w:firstLine="567" w:firstLineChars="189"/>
        <w:jc w:val="both"/>
        <w:rPr>
          <w:rFonts w:ascii="宋体" w:hAnsi="宋体" w:eastAsia="宋体" w:cs="Times New Roman"/>
          <w:kern w:val="2"/>
          <w:sz w:val="30"/>
          <w:szCs w:val="30"/>
        </w:rPr>
      </w:pPr>
      <w:r>
        <w:rPr>
          <w:rFonts w:hint="eastAsia" w:ascii="宋体" w:hAnsi="宋体" w:eastAsia="宋体" w:cs="Times New Roman"/>
          <w:kern w:val="2"/>
          <w:sz w:val="30"/>
          <w:szCs w:val="30"/>
        </w:rPr>
        <w:t>4、决赛参赛队伍要求男女生都至少一人，即若某院前三名都为男生（女生），则取该院女生（男生）中成绩最高者取代第三名的资格进入决赛；</w:t>
      </w:r>
    </w:p>
    <w:p>
      <w:pPr>
        <w:widowControl w:val="0"/>
        <w:tabs>
          <w:tab w:val="left" w:pos="1150"/>
        </w:tabs>
        <w:adjustRightInd/>
        <w:snapToGrid/>
        <w:spacing w:after="0"/>
        <w:ind w:firstLine="567" w:firstLineChars="189"/>
        <w:jc w:val="both"/>
        <w:rPr>
          <w:rFonts w:ascii="黑体" w:hAnsi="黑体" w:eastAsia="黑体" w:cs="Times New Roman"/>
          <w:kern w:val="2"/>
          <w:sz w:val="30"/>
          <w:szCs w:val="30"/>
        </w:rPr>
      </w:pPr>
      <w:r>
        <w:rPr>
          <w:rFonts w:hint="eastAsia" w:ascii="黑体" w:hAnsi="黑体" w:eastAsia="黑体" w:cs="Times New Roman"/>
          <w:kern w:val="2"/>
          <w:sz w:val="30"/>
          <w:szCs w:val="30"/>
        </w:rPr>
        <w:t xml:space="preserve">四、关于擂台决赛 </w:t>
      </w:r>
    </w:p>
    <w:p>
      <w:pPr>
        <w:widowControl w:val="0"/>
        <w:adjustRightInd/>
        <w:snapToGrid/>
        <w:spacing w:after="0"/>
        <w:ind w:firstLine="567" w:firstLineChars="189"/>
        <w:jc w:val="both"/>
        <w:rPr>
          <w:rFonts w:ascii="宋体" w:hAnsi="宋体" w:eastAsia="宋体" w:cs="Times New Roman"/>
          <w:kern w:val="2"/>
          <w:sz w:val="30"/>
          <w:szCs w:val="30"/>
        </w:rPr>
      </w:pPr>
      <w:r>
        <w:rPr>
          <w:rFonts w:hint="eastAsia" w:ascii="宋体" w:hAnsi="宋体" w:eastAsia="宋体" w:cs="Times New Roman"/>
          <w:kern w:val="2"/>
          <w:sz w:val="30"/>
          <w:szCs w:val="30"/>
        </w:rPr>
        <w:t>1．决赛</w:t>
      </w:r>
      <w:r>
        <w:rPr>
          <w:rFonts w:hint="eastAsia" w:ascii="Times New Roman" w:hAnsi="Times New Roman" w:eastAsia="宋体" w:cs="Times New Roman"/>
          <w:kern w:val="2"/>
          <w:sz w:val="30"/>
          <w:szCs w:val="30"/>
        </w:rPr>
        <w:t>20</w:t>
      </w:r>
      <w:r>
        <w:rPr>
          <w:rFonts w:hint="eastAsia" w:ascii="宋体" w:hAnsi="宋体" w:eastAsia="宋体" w:cs="Times New Roman"/>
          <w:kern w:val="2"/>
          <w:sz w:val="30"/>
          <w:szCs w:val="30"/>
        </w:rPr>
        <w:t>分钟前各参赛队签到并抽签决定比赛座次；</w:t>
      </w:r>
    </w:p>
    <w:p>
      <w:pPr>
        <w:widowControl w:val="0"/>
        <w:adjustRightInd/>
        <w:snapToGrid/>
        <w:spacing w:after="0"/>
        <w:ind w:firstLine="567" w:firstLineChars="189"/>
        <w:jc w:val="both"/>
        <w:rPr>
          <w:rFonts w:ascii="宋体" w:hAnsi="宋体" w:eastAsia="宋体" w:cs="Times New Roman"/>
          <w:kern w:val="2"/>
          <w:sz w:val="30"/>
          <w:szCs w:val="30"/>
        </w:rPr>
      </w:pPr>
      <w:r>
        <w:rPr>
          <w:rFonts w:hint="eastAsia" w:ascii="宋体" w:hAnsi="宋体" w:eastAsia="宋体" w:cs="Times New Roman"/>
          <w:kern w:val="2"/>
          <w:sz w:val="30"/>
          <w:szCs w:val="30"/>
        </w:rPr>
        <w:t>2．决赛前</w:t>
      </w:r>
      <w:r>
        <w:rPr>
          <w:rFonts w:hint="eastAsia" w:ascii="Times New Roman" w:hAnsi="Times New Roman" w:eastAsia="宋体" w:cs="Times New Roman"/>
          <w:kern w:val="2"/>
          <w:sz w:val="30"/>
          <w:szCs w:val="30"/>
        </w:rPr>
        <w:t>5</w:t>
      </w:r>
      <w:r>
        <w:rPr>
          <w:rFonts w:hint="eastAsia" w:ascii="宋体" w:hAnsi="宋体" w:eastAsia="宋体" w:cs="Times New Roman"/>
          <w:kern w:val="2"/>
          <w:sz w:val="30"/>
          <w:szCs w:val="30"/>
        </w:rPr>
        <w:t xml:space="preserve">分钟参赛选手就位； 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firstLine="567" w:firstLineChars="189"/>
        <w:jc w:val="both"/>
        <w:rPr>
          <w:rFonts w:ascii="宋体" w:hAnsi="宋体" w:eastAsia="宋体" w:cs="Times New Roman"/>
          <w:kern w:val="2"/>
          <w:sz w:val="30"/>
          <w:szCs w:val="30"/>
        </w:rPr>
      </w:pPr>
      <w:r>
        <w:rPr>
          <w:rFonts w:hint="eastAsia" w:ascii="宋体" w:hAnsi="宋体" w:eastAsia="宋体" w:cs="Times New Roman"/>
          <w:kern w:val="2"/>
          <w:sz w:val="30"/>
          <w:szCs w:val="30"/>
        </w:rPr>
        <w:t>答题规则视具体竞赛环节而定；</w:t>
      </w:r>
    </w:p>
    <w:p>
      <w:pPr>
        <w:widowControl w:val="0"/>
        <w:adjustRightInd/>
        <w:snapToGrid/>
        <w:spacing w:after="0"/>
        <w:ind w:firstLine="567" w:firstLineChars="189"/>
        <w:jc w:val="both"/>
        <w:rPr>
          <w:rFonts w:ascii="宋体" w:hAnsi="宋体" w:eastAsia="宋体" w:cs="Times New Roman"/>
          <w:kern w:val="2"/>
          <w:sz w:val="30"/>
          <w:szCs w:val="30"/>
        </w:rPr>
      </w:pPr>
    </w:p>
    <w:p>
      <w:pPr>
        <w:widowControl w:val="0"/>
        <w:adjustRightInd/>
        <w:snapToGrid/>
        <w:spacing w:after="0"/>
        <w:ind w:firstLine="567" w:firstLineChars="189"/>
        <w:jc w:val="both"/>
        <w:rPr>
          <w:rFonts w:ascii="宋体" w:hAnsi="宋体" w:eastAsia="宋体" w:cs="Times New Roman"/>
          <w:kern w:val="2"/>
          <w:sz w:val="30"/>
          <w:szCs w:val="30"/>
        </w:rPr>
      </w:pPr>
    </w:p>
    <w:p>
      <w:pPr>
        <w:widowControl w:val="0"/>
        <w:adjustRightInd/>
        <w:snapToGrid/>
        <w:spacing w:after="0"/>
        <w:ind w:firstLine="567" w:firstLineChars="189"/>
        <w:jc w:val="both"/>
        <w:rPr>
          <w:rFonts w:ascii="宋体" w:hAnsi="宋体" w:eastAsia="宋体" w:cs="Times New Roman"/>
          <w:kern w:val="2"/>
          <w:sz w:val="30"/>
          <w:szCs w:val="30"/>
        </w:rPr>
      </w:pPr>
    </w:p>
    <w:p>
      <w:pPr>
        <w:widowControl w:val="0"/>
        <w:adjustRightInd/>
        <w:snapToGrid/>
        <w:spacing w:after="0"/>
        <w:ind w:firstLine="567" w:firstLineChars="189"/>
        <w:jc w:val="both"/>
        <w:rPr>
          <w:rFonts w:ascii="宋体" w:hAnsi="宋体" w:eastAsia="宋体" w:cs="Times New Roman"/>
          <w:kern w:val="2"/>
          <w:sz w:val="30"/>
          <w:szCs w:val="30"/>
        </w:rPr>
      </w:pPr>
    </w:p>
    <w:p>
      <w:pPr>
        <w:widowControl w:val="0"/>
        <w:adjustRightInd/>
        <w:snapToGrid/>
        <w:spacing w:after="0"/>
        <w:ind w:firstLine="567" w:firstLineChars="189"/>
        <w:jc w:val="both"/>
        <w:rPr>
          <w:rFonts w:ascii="宋体" w:hAnsi="宋体" w:eastAsia="宋体" w:cs="Times New Roman"/>
          <w:kern w:val="2"/>
          <w:sz w:val="30"/>
          <w:szCs w:val="30"/>
        </w:rPr>
      </w:pPr>
    </w:p>
    <w:p>
      <w:pPr>
        <w:widowControl w:val="0"/>
        <w:adjustRightInd/>
        <w:snapToGrid/>
        <w:spacing w:after="0"/>
        <w:ind w:firstLine="567" w:firstLineChars="189"/>
        <w:jc w:val="both"/>
        <w:rPr>
          <w:rFonts w:ascii="宋体" w:hAnsi="宋体" w:eastAsia="宋体" w:cs="Times New Roman"/>
          <w:kern w:val="2"/>
          <w:sz w:val="30"/>
          <w:szCs w:val="30"/>
        </w:rPr>
      </w:pPr>
    </w:p>
    <w:p>
      <w:pPr>
        <w:widowControl w:val="0"/>
        <w:adjustRightInd/>
        <w:snapToGrid/>
        <w:spacing w:after="0"/>
        <w:ind w:firstLine="567" w:firstLineChars="189"/>
        <w:jc w:val="both"/>
        <w:rPr>
          <w:rFonts w:ascii="宋体" w:hAnsi="宋体" w:eastAsia="宋体" w:cs="Times New Roman"/>
          <w:kern w:val="2"/>
          <w:sz w:val="30"/>
          <w:szCs w:val="30"/>
        </w:rPr>
      </w:pPr>
    </w:p>
    <w:p>
      <w:pPr>
        <w:widowControl w:val="0"/>
        <w:adjustRightInd/>
        <w:snapToGrid/>
        <w:spacing w:after="0"/>
        <w:ind w:firstLine="567" w:firstLineChars="189"/>
        <w:jc w:val="both"/>
        <w:rPr>
          <w:rFonts w:ascii="宋体" w:hAnsi="宋体" w:eastAsia="宋体" w:cs="Times New Roman"/>
          <w:kern w:val="2"/>
          <w:sz w:val="30"/>
          <w:szCs w:val="30"/>
        </w:rPr>
      </w:pPr>
    </w:p>
    <w:p>
      <w:pPr>
        <w:widowControl w:val="0"/>
        <w:adjustRightInd/>
        <w:snapToGrid/>
        <w:spacing w:after="0"/>
        <w:ind w:firstLine="529" w:firstLineChars="189"/>
        <w:jc w:val="both"/>
        <w:rPr>
          <w:rFonts w:ascii="黑体" w:hAnsi="黑体" w:eastAsia="黑体" w:cs="Times New Roman"/>
          <w:kern w:val="2"/>
          <w:sz w:val="28"/>
          <w:szCs w:val="28"/>
        </w:rPr>
      </w:pPr>
      <w:r>
        <w:rPr>
          <w:rFonts w:hint="eastAsia" w:ascii="黑体" w:hAnsi="黑体" w:eastAsia="黑体" w:cs="Times New Roman"/>
          <w:kern w:val="2"/>
          <w:sz w:val="28"/>
          <w:szCs w:val="28"/>
        </w:rPr>
        <w:t>附件2：</w:t>
      </w:r>
    </w:p>
    <w:p>
      <w:pPr>
        <w:widowControl w:val="0"/>
        <w:adjustRightInd/>
        <w:snapToGrid/>
        <w:spacing w:after="0"/>
        <w:ind w:firstLine="529" w:firstLineChars="189"/>
        <w:jc w:val="both"/>
        <w:rPr>
          <w:rFonts w:ascii="宋体" w:hAnsi="宋体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kern w:val="2"/>
          <w:sz w:val="28"/>
          <w:szCs w:val="28"/>
        </w:rPr>
        <w:t>第十二届“绿缘杯”国防知识竞赛初赛重难点提示</w:t>
      </w:r>
    </w:p>
    <w:p>
      <w:pPr>
        <w:widowControl w:val="0"/>
        <w:adjustRightInd/>
        <w:snapToGrid/>
        <w:spacing w:after="0"/>
        <w:ind w:firstLine="529" w:firstLineChars="189"/>
        <w:jc w:val="both"/>
        <w:rPr>
          <w:rFonts w:ascii="宋体" w:hAnsi="宋体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kern w:val="2"/>
          <w:sz w:val="28"/>
          <w:szCs w:val="28"/>
        </w:rPr>
        <w:t xml:space="preserve"> 1、国共两次内战的基本史实；</w:t>
      </w:r>
    </w:p>
    <w:p>
      <w:pPr>
        <w:widowControl w:val="0"/>
        <w:adjustRightInd/>
        <w:snapToGrid/>
        <w:spacing w:after="0"/>
        <w:ind w:firstLine="529" w:firstLineChars="189"/>
        <w:jc w:val="both"/>
        <w:rPr>
          <w:rFonts w:ascii="宋体" w:hAnsi="宋体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kern w:val="2"/>
          <w:sz w:val="28"/>
          <w:szCs w:val="28"/>
        </w:rPr>
        <w:t xml:space="preserve"> 2、中国的抗日战争；</w:t>
      </w:r>
    </w:p>
    <w:p>
      <w:pPr>
        <w:widowControl w:val="0"/>
        <w:adjustRightInd/>
        <w:snapToGrid/>
        <w:spacing w:after="0"/>
        <w:ind w:firstLine="529" w:firstLineChars="189"/>
        <w:jc w:val="both"/>
        <w:rPr>
          <w:rFonts w:ascii="宋体" w:hAnsi="宋体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kern w:val="2"/>
          <w:sz w:val="28"/>
          <w:szCs w:val="28"/>
        </w:rPr>
        <w:t xml:space="preserve"> 3、第二次世界大战；</w:t>
      </w:r>
    </w:p>
    <w:p>
      <w:pPr>
        <w:widowControl w:val="0"/>
        <w:adjustRightInd/>
        <w:snapToGrid/>
        <w:spacing w:after="0"/>
        <w:ind w:firstLine="529" w:firstLineChars="189"/>
        <w:jc w:val="both"/>
        <w:rPr>
          <w:rFonts w:ascii="宋体" w:hAnsi="宋体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kern w:val="2"/>
          <w:sz w:val="28"/>
          <w:szCs w:val="28"/>
        </w:rPr>
        <w:t xml:space="preserve"> 4、古今中外的著名战略著作与思想；</w:t>
      </w:r>
    </w:p>
    <w:p>
      <w:pPr>
        <w:widowControl w:val="0"/>
        <w:adjustRightInd/>
        <w:snapToGrid/>
        <w:spacing w:after="0"/>
        <w:ind w:firstLine="529" w:firstLineChars="189"/>
        <w:jc w:val="both"/>
        <w:rPr>
          <w:rFonts w:ascii="宋体" w:hAnsi="宋体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kern w:val="2"/>
          <w:sz w:val="28"/>
          <w:szCs w:val="28"/>
        </w:rPr>
        <w:t xml:space="preserve"> 5、国防法、兵役法主要内容及世界各国现役主要主要装备；</w:t>
      </w:r>
    </w:p>
    <w:p>
      <w:pPr>
        <w:widowControl w:val="0"/>
        <w:adjustRightInd/>
        <w:snapToGrid/>
        <w:spacing w:after="0"/>
        <w:ind w:firstLine="529" w:firstLineChars="189"/>
        <w:jc w:val="both"/>
        <w:rPr>
          <w:sz w:val="28"/>
          <w:szCs w:val="28"/>
        </w:rPr>
      </w:pPr>
      <w:r>
        <w:rPr>
          <w:rFonts w:hint="eastAsia" w:ascii="宋体" w:hAnsi="宋体" w:eastAsia="宋体" w:cs="Times New Roman"/>
          <w:kern w:val="2"/>
          <w:sz w:val="28"/>
          <w:szCs w:val="28"/>
        </w:rPr>
        <w:t xml:space="preserve"> 6、近三年内我国及我国周边重大政治、军事、国防热点问题。</w:t>
      </w:r>
    </w:p>
    <w:p>
      <w:pPr>
        <w:ind w:firstLine="567" w:firstLineChars="189"/>
        <w:rPr>
          <w:sz w:val="30"/>
          <w:szCs w:val="30"/>
        </w:rPr>
      </w:pPr>
    </w:p>
    <w:p>
      <w:pPr>
        <w:ind w:firstLine="567" w:firstLineChars="189"/>
        <w:rPr>
          <w:sz w:val="30"/>
          <w:szCs w:val="30"/>
        </w:rPr>
      </w:pPr>
    </w:p>
    <w:p>
      <w:pPr>
        <w:ind w:firstLine="567" w:firstLineChars="189"/>
        <w:rPr>
          <w:sz w:val="30"/>
          <w:szCs w:val="30"/>
        </w:rPr>
      </w:pPr>
    </w:p>
    <w:p>
      <w:pPr>
        <w:ind w:firstLine="567" w:firstLineChars="189"/>
        <w:rPr>
          <w:sz w:val="30"/>
          <w:szCs w:val="30"/>
        </w:rPr>
      </w:pPr>
    </w:p>
    <w:p>
      <w:pPr>
        <w:ind w:firstLine="567" w:firstLineChars="189"/>
        <w:rPr>
          <w:sz w:val="30"/>
          <w:szCs w:val="30"/>
        </w:rPr>
      </w:pPr>
    </w:p>
    <w:p>
      <w:pPr>
        <w:ind w:firstLine="567" w:firstLineChars="189"/>
        <w:rPr>
          <w:sz w:val="30"/>
          <w:szCs w:val="30"/>
        </w:rPr>
      </w:pPr>
    </w:p>
    <w:p>
      <w:pPr>
        <w:ind w:firstLine="567" w:firstLineChars="189"/>
        <w:rPr>
          <w:sz w:val="30"/>
          <w:szCs w:val="30"/>
        </w:rPr>
      </w:pPr>
    </w:p>
    <w:p>
      <w:pPr>
        <w:ind w:firstLine="567" w:firstLineChars="189"/>
        <w:rPr>
          <w:sz w:val="30"/>
          <w:szCs w:val="30"/>
        </w:rPr>
      </w:pPr>
    </w:p>
    <w:p>
      <w:pPr>
        <w:ind w:firstLine="567" w:firstLineChars="189"/>
        <w:rPr>
          <w:sz w:val="30"/>
          <w:szCs w:val="30"/>
        </w:rPr>
      </w:pPr>
    </w:p>
    <w:p>
      <w:pPr>
        <w:ind w:firstLine="567" w:firstLineChars="189"/>
        <w:rPr>
          <w:sz w:val="30"/>
          <w:szCs w:val="30"/>
        </w:rPr>
      </w:pPr>
    </w:p>
    <w:p>
      <w:pPr>
        <w:ind w:firstLine="567" w:firstLineChars="189"/>
        <w:rPr>
          <w:sz w:val="30"/>
          <w:szCs w:val="30"/>
        </w:rPr>
      </w:pPr>
    </w:p>
    <w:p>
      <w:pPr>
        <w:ind w:firstLine="567" w:firstLineChars="189"/>
        <w:rPr>
          <w:sz w:val="30"/>
          <w:szCs w:val="30"/>
        </w:rPr>
      </w:pPr>
    </w:p>
    <w:p>
      <w:pPr>
        <w:ind w:firstLine="567" w:firstLineChars="189"/>
        <w:rPr>
          <w:sz w:val="30"/>
          <w:szCs w:val="30"/>
        </w:rPr>
      </w:pPr>
      <w:r>
        <w:rPr>
          <w:rFonts w:hint="eastAsia"/>
          <w:sz w:val="30"/>
          <w:szCs w:val="30"/>
        </w:rPr>
        <w:t>附件3：</w:t>
      </w:r>
    </w:p>
    <w:p>
      <w:pPr>
        <w:jc w:val="center"/>
        <w:rPr>
          <w:rFonts w:ascii="黑体" w:hAnsi="黑体" w:eastAsia="黑体" w:cs="Times New Roman"/>
          <w:kern w:val="2"/>
          <w:sz w:val="36"/>
          <w:szCs w:val="36"/>
        </w:rPr>
      </w:pPr>
      <w:r>
        <w:rPr>
          <w:rFonts w:hint="eastAsia" w:ascii="黑体" w:hAnsi="黑体" w:eastAsia="黑体" w:cs="Times New Roman"/>
          <w:kern w:val="2"/>
          <w:sz w:val="36"/>
          <w:szCs w:val="36"/>
        </w:rPr>
        <w:t>第十二届“绿缘杯”国防知识竞赛报名表</w:t>
      </w:r>
    </w:p>
    <w:tbl>
      <w:tblPr>
        <w:tblStyle w:val="7"/>
        <w:tblW w:w="852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735"/>
        <w:gridCol w:w="1140"/>
        <w:gridCol w:w="900"/>
        <w:gridCol w:w="675"/>
        <w:gridCol w:w="900"/>
        <w:gridCol w:w="1666"/>
        <w:gridCol w:w="948"/>
        <w:gridCol w:w="94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16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</w:tcBorders>
          </w:tcPr>
          <w:p>
            <w:pPr>
              <w:spacing w:after="0"/>
              <w:rPr>
                <w:b/>
                <w:bCs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735" w:type="dxa"/>
            <w:tcBorders>
              <w:top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</w:rPr>
              <w:t>学院</w:t>
            </w:r>
          </w:p>
        </w:tc>
        <w:tc>
          <w:tcPr>
            <w:tcW w:w="1140" w:type="dxa"/>
            <w:tcBorders>
              <w:top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</w:rPr>
              <w:t>专业班级</w:t>
            </w:r>
          </w:p>
        </w:tc>
        <w:tc>
          <w:tcPr>
            <w:tcW w:w="900" w:type="dxa"/>
            <w:tcBorders>
              <w:top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675" w:type="dxa"/>
            <w:tcBorders>
              <w:top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900" w:type="dxa"/>
            <w:tcBorders>
              <w:top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666" w:type="dxa"/>
            <w:tcBorders>
              <w:top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</w:rPr>
              <w:t>联系方式TEL</w:t>
            </w:r>
          </w:p>
        </w:tc>
        <w:tc>
          <w:tcPr>
            <w:tcW w:w="948" w:type="dxa"/>
            <w:tcBorders>
              <w:top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</w:rPr>
              <w:t>QQ</w:t>
            </w:r>
          </w:p>
        </w:tc>
        <w:tc>
          <w:tcPr>
            <w:tcW w:w="948" w:type="dxa"/>
            <w:tcBorders>
              <w:top w:val="thinThickSmallGap" w:color="auto" w:sz="12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16" w:type="dxa"/>
            <w:tcBorders>
              <w:top w:val="single" w:color="auto" w:sz="4" w:space="0"/>
              <w:left w:val="thinThickSmallGap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140" w:type="dxa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675" w:type="dxa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666" w:type="dxa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48" w:type="dxa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48" w:type="dxa"/>
            <w:tcBorders>
              <w:top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after="0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16" w:type="dxa"/>
            <w:tcBorders>
              <w:left w:val="thinThickSmallGap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14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666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48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48" w:type="dxa"/>
            <w:tcBorders>
              <w:right w:val="thickThinSmallGap" w:color="auto" w:sz="12" w:space="0"/>
            </w:tcBorders>
            <w:vAlign w:val="center"/>
          </w:tcPr>
          <w:p>
            <w:pPr>
              <w:spacing w:after="0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16" w:type="dxa"/>
            <w:tcBorders>
              <w:left w:val="thinThickSmallGap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14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666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48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48" w:type="dxa"/>
            <w:tcBorders>
              <w:right w:val="thickThinSmallGap" w:color="auto" w:sz="12" w:space="0"/>
            </w:tcBorders>
            <w:vAlign w:val="center"/>
          </w:tcPr>
          <w:p>
            <w:pPr>
              <w:spacing w:after="0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16" w:type="dxa"/>
            <w:tcBorders>
              <w:left w:val="thinThickSmallGap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14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666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48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48" w:type="dxa"/>
            <w:tcBorders>
              <w:right w:val="thickThinSmallGap" w:color="auto" w:sz="12" w:space="0"/>
            </w:tcBorders>
            <w:vAlign w:val="center"/>
          </w:tcPr>
          <w:p>
            <w:pPr>
              <w:spacing w:after="0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513" w:hRule="atLeast"/>
        </w:trPr>
        <w:tc>
          <w:tcPr>
            <w:tcW w:w="616" w:type="dxa"/>
            <w:tcBorders>
              <w:left w:val="thinThickSmallGap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14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666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48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48" w:type="dxa"/>
            <w:tcBorders>
              <w:right w:val="thickThinSmallGap" w:color="auto" w:sz="12" w:space="0"/>
            </w:tcBorders>
            <w:vAlign w:val="center"/>
          </w:tcPr>
          <w:p>
            <w:pPr>
              <w:spacing w:after="0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16" w:type="dxa"/>
            <w:tcBorders>
              <w:left w:val="thinThickSmallGap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14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666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48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48" w:type="dxa"/>
            <w:tcBorders>
              <w:right w:val="thickThinSmallGap" w:color="auto" w:sz="12" w:space="0"/>
            </w:tcBorders>
            <w:vAlign w:val="center"/>
          </w:tcPr>
          <w:p>
            <w:pPr>
              <w:spacing w:after="0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16" w:type="dxa"/>
            <w:tcBorders>
              <w:left w:val="thinThickSmallGap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14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666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48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48" w:type="dxa"/>
            <w:tcBorders>
              <w:right w:val="thickThinSmallGap" w:color="auto" w:sz="12" w:space="0"/>
            </w:tcBorders>
            <w:vAlign w:val="center"/>
          </w:tcPr>
          <w:p>
            <w:pPr>
              <w:spacing w:after="0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16" w:type="dxa"/>
            <w:tcBorders>
              <w:left w:val="thinThickSmallGap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735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14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666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48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48" w:type="dxa"/>
            <w:tcBorders>
              <w:right w:val="thickThinSmallGap" w:color="auto" w:sz="12" w:space="0"/>
            </w:tcBorders>
            <w:vAlign w:val="center"/>
          </w:tcPr>
          <w:p>
            <w:pPr>
              <w:spacing w:after="0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16" w:type="dxa"/>
            <w:tcBorders>
              <w:left w:val="thinThickSmallGap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735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14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666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48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48" w:type="dxa"/>
            <w:tcBorders>
              <w:right w:val="thickThinSmallGap" w:color="auto" w:sz="12" w:space="0"/>
            </w:tcBorders>
            <w:vAlign w:val="center"/>
          </w:tcPr>
          <w:p>
            <w:pPr>
              <w:spacing w:after="0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16" w:type="dxa"/>
            <w:tcBorders>
              <w:left w:val="thinThickSmallGap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35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14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666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48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48" w:type="dxa"/>
            <w:tcBorders>
              <w:right w:val="thickThinSmallGap" w:color="auto" w:sz="12" w:space="0"/>
            </w:tcBorders>
            <w:vAlign w:val="center"/>
          </w:tcPr>
          <w:p>
            <w:pPr>
              <w:spacing w:after="0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513" w:hRule="atLeast"/>
        </w:trPr>
        <w:tc>
          <w:tcPr>
            <w:tcW w:w="616" w:type="dxa"/>
            <w:tcBorders>
              <w:left w:val="thinThickSmallGap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735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14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666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48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48" w:type="dxa"/>
            <w:tcBorders>
              <w:right w:val="thickThinSmallGap" w:color="auto" w:sz="12" w:space="0"/>
            </w:tcBorders>
            <w:vAlign w:val="center"/>
          </w:tcPr>
          <w:p>
            <w:pPr>
              <w:spacing w:after="0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16" w:type="dxa"/>
            <w:tcBorders>
              <w:left w:val="thinThickSmallGap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735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14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666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48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48" w:type="dxa"/>
            <w:tcBorders>
              <w:right w:val="thickThinSmallGap" w:color="auto" w:sz="12" w:space="0"/>
            </w:tcBorders>
            <w:vAlign w:val="center"/>
          </w:tcPr>
          <w:p>
            <w:pPr>
              <w:spacing w:after="0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16" w:type="dxa"/>
            <w:tcBorders>
              <w:left w:val="thinThickSmallGap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735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14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666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48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48" w:type="dxa"/>
            <w:tcBorders>
              <w:right w:val="thickThinSmallGap" w:color="auto" w:sz="12" w:space="0"/>
            </w:tcBorders>
            <w:vAlign w:val="center"/>
          </w:tcPr>
          <w:p>
            <w:pPr>
              <w:spacing w:after="0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16" w:type="dxa"/>
            <w:tcBorders>
              <w:left w:val="thinThickSmallGap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735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14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666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48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48" w:type="dxa"/>
            <w:tcBorders>
              <w:right w:val="thickThinSmallGap" w:color="auto" w:sz="12" w:space="0"/>
            </w:tcBorders>
            <w:vAlign w:val="center"/>
          </w:tcPr>
          <w:p>
            <w:pPr>
              <w:spacing w:after="0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16" w:type="dxa"/>
            <w:tcBorders>
              <w:left w:val="thinThickSmallGap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735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14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666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48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48" w:type="dxa"/>
            <w:tcBorders>
              <w:right w:val="thickThinSmallGap" w:color="auto" w:sz="12" w:space="0"/>
            </w:tcBorders>
            <w:vAlign w:val="center"/>
          </w:tcPr>
          <w:p>
            <w:pPr>
              <w:spacing w:after="0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16" w:type="dxa"/>
            <w:tcBorders>
              <w:left w:val="thinThickSmallGap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735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14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666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48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48" w:type="dxa"/>
            <w:tcBorders>
              <w:right w:val="thickThinSmallGap" w:color="auto" w:sz="12" w:space="0"/>
            </w:tcBorders>
            <w:vAlign w:val="center"/>
          </w:tcPr>
          <w:p>
            <w:pPr>
              <w:spacing w:after="0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513" w:hRule="atLeast"/>
        </w:trPr>
        <w:tc>
          <w:tcPr>
            <w:tcW w:w="616" w:type="dxa"/>
            <w:tcBorders>
              <w:left w:val="thinThickSmallGap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735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14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666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48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48" w:type="dxa"/>
            <w:tcBorders>
              <w:right w:val="thickThinSmallGap" w:color="auto" w:sz="12" w:space="0"/>
            </w:tcBorders>
            <w:vAlign w:val="center"/>
          </w:tcPr>
          <w:p>
            <w:pPr>
              <w:spacing w:after="0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16" w:type="dxa"/>
            <w:tcBorders>
              <w:left w:val="thinThickSmallGap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735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14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666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48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48" w:type="dxa"/>
            <w:tcBorders>
              <w:right w:val="thickThinSmallGap" w:color="auto" w:sz="12" w:space="0"/>
            </w:tcBorders>
            <w:vAlign w:val="center"/>
          </w:tcPr>
          <w:p>
            <w:pPr>
              <w:spacing w:after="0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16" w:type="dxa"/>
            <w:tcBorders>
              <w:left w:val="thinThickSmallGap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735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14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666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48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48" w:type="dxa"/>
            <w:tcBorders>
              <w:right w:val="thickThinSmallGap" w:color="auto" w:sz="12" w:space="0"/>
            </w:tcBorders>
            <w:vAlign w:val="center"/>
          </w:tcPr>
          <w:p>
            <w:pPr>
              <w:spacing w:after="0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16" w:type="dxa"/>
            <w:tcBorders>
              <w:left w:val="thinThickSmallGap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735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14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666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48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948" w:type="dxa"/>
            <w:tcBorders>
              <w:right w:val="thickThinSmallGap" w:color="auto" w:sz="12" w:space="0"/>
            </w:tcBorders>
            <w:vAlign w:val="center"/>
          </w:tcPr>
          <w:p>
            <w:pPr>
              <w:spacing w:after="0"/>
              <w:jc w:val="center"/>
            </w:pPr>
          </w:p>
        </w:tc>
      </w:tr>
    </w:tbl>
    <w:p>
      <w:pPr>
        <w:widowControl w:val="0"/>
        <w:adjustRightInd/>
        <w:snapToGrid/>
        <w:spacing w:after="0" w:line="360" w:lineRule="auto"/>
        <w:ind w:left="436" w:leftChars="198" w:firstLine="454" w:firstLineChars="189"/>
        <w:jc w:val="both"/>
        <w:rPr>
          <w:rFonts w:ascii="宋体" w:hAnsi="宋体" w:eastAsia="宋体" w:cs="Times New Roman"/>
          <w:kern w:val="2"/>
          <w:sz w:val="24"/>
          <w:szCs w:val="24"/>
        </w:rPr>
      </w:pPr>
      <w:r>
        <w:rPr>
          <w:rFonts w:ascii="宋体" w:hAnsi="宋体" w:eastAsia="宋体" w:cs="Times New Roman"/>
          <w:kern w:val="2"/>
          <w:sz w:val="24"/>
          <w:szCs w:val="24"/>
        </w:rPr>
        <w:t>注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>：电子报名表发至国防办邮箱</w:t>
      </w:r>
      <w:r>
        <w:rPr>
          <w:rFonts w:hint="eastAsia" w:cs="Times New Roman" w:asciiTheme="minorEastAsia" w:hAnsiTheme="minorEastAsia" w:eastAsiaTheme="minorEastAsia"/>
          <w:b/>
          <w:kern w:val="2"/>
          <w:sz w:val="24"/>
          <w:szCs w:val="24"/>
        </w:rPr>
        <w:t>lvyuanzhijia2000@163.com</w:t>
      </w:r>
    </w:p>
    <w:sectPr>
      <w:pgSz w:w="11906" w:h="16838"/>
      <w:pgMar w:top="1701" w:right="1588" w:bottom="1588" w:left="1797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楷体">
    <w:altName w:val="Arial Unicode MS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8891484">
    <w:nsid w:val="56F4EADC"/>
    <w:multiLevelType w:val="singleLevel"/>
    <w:tmpl w:val="56F4EADC"/>
    <w:lvl w:ilvl="0" w:tentative="1">
      <w:start w:val="3"/>
      <w:numFmt w:val="decimal"/>
      <w:suff w:val="nothing"/>
      <w:lvlText w:val="%1．"/>
      <w:lvlJc w:val="left"/>
    </w:lvl>
  </w:abstractNum>
  <w:num w:numId="1">
    <w:abstractNumId w:val="14588914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A44E6"/>
    <w:rsid w:val="0006756E"/>
    <w:rsid w:val="00100B7F"/>
    <w:rsid w:val="0015074F"/>
    <w:rsid w:val="00190CE8"/>
    <w:rsid w:val="001A3F6C"/>
    <w:rsid w:val="00284D34"/>
    <w:rsid w:val="00286D92"/>
    <w:rsid w:val="002A250E"/>
    <w:rsid w:val="002A3F7B"/>
    <w:rsid w:val="002B6576"/>
    <w:rsid w:val="002C2569"/>
    <w:rsid w:val="002F61E4"/>
    <w:rsid w:val="00312D08"/>
    <w:rsid w:val="00323B43"/>
    <w:rsid w:val="0035709C"/>
    <w:rsid w:val="003B37DF"/>
    <w:rsid w:val="003D37D8"/>
    <w:rsid w:val="00425A84"/>
    <w:rsid w:val="004358AB"/>
    <w:rsid w:val="004B23F1"/>
    <w:rsid w:val="004F19C1"/>
    <w:rsid w:val="00550A12"/>
    <w:rsid w:val="005B2D27"/>
    <w:rsid w:val="00610B1C"/>
    <w:rsid w:val="00612857"/>
    <w:rsid w:val="006A39F2"/>
    <w:rsid w:val="006B1004"/>
    <w:rsid w:val="006C311E"/>
    <w:rsid w:val="006D6B35"/>
    <w:rsid w:val="007041EE"/>
    <w:rsid w:val="00721A3F"/>
    <w:rsid w:val="00795E95"/>
    <w:rsid w:val="007A106F"/>
    <w:rsid w:val="007B1A51"/>
    <w:rsid w:val="00862A0A"/>
    <w:rsid w:val="0086734E"/>
    <w:rsid w:val="008A622A"/>
    <w:rsid w:val="008B7726"/>
    <w:rsid w:val="00943FEF"/>
    <w:rsid w:val="009A5F65"/>
    <w:rsid w:val="009A712D"/>
    <w:rsid w:val="00A835F0"/>
    <w:rsid w:val="00AF32CF"/>
    <w:rsid w:val="00B20EC3"/>
    <w:rsid w:val="00B30732"/>
    <w:rsid w:val="00B43DAF"/>
    <w:rsid w:val="00BA44E6"/>
    <w:rsid w:val="00BB639D"/>
    <w:rsid w:val="00BC2A26"/>
    <w:rsid w:val="00C367E2"/>
    <w:rsid w:val="00CF5F39"/>
    <w:rsid w:val="00D1786F"/>
    <w:rsid w:val="00D44C3D"/>
    <w:rsid w:val="00D72A45"/>
    <w:rsid w:val="00D93969"/>
    <w:rsid w:val="00DD46BA"/>
    <w:rsid w:val="00DF0887"/>
    <w:rsid w:val="00E11D0F"/>
    <w:rsid w:val="00E2041A"/>
    <w:rsid w:val="00E21A6F"/>
    <w:rsid w:val="00E57006"/>
    <w:rsid w:val="00E60BE5"/>
    <w:rsid w:val="00EB1146"/>
    <w:rsid w:val="00EE7AF8"/>
    <w:rsid w:val="00F1109D"/>
    <w:rsid w:val="00F25F3E"/>
    <w:rsid w:val="00FE7DE1"/>
    <w:rsid w:val="03350536"/>
    <w:rsid w:val="1A8E2ED2"/>
    <w:rsid w:val="1C164562"/>
    <w:rsid w:val="4D6448ED"/>
    <w:rsid w:val="62AF220D"/>
    <w:rsid w:val="78C30D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Light Shading Accent 1"/>
    <w:basedOn w:val="6"/>
    <w:qFormat/>
    <w:uiPriority w:val="60"/>
    <w:rPr>
      <w:color w:val="366091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9">
    <w:name w:val="列出段落1"/>
    <w:basedOn w:val="1"/>
    <w:qFormat/>
    <w:uiPriority w:val="0"/>
    <w:pPr>
      <w:spacing w:before="100" w:beforeAutospacing="1"/>
      <w:ind w:firstLine="420" w:firstLineChars="200"/>
    </w:pPr>
    <w:rPr>
      <w:rFonts w:cs="Times New Roman"/>
    </w:rPr>
  </w:style>
  <w:style w:type="paragraph" w:customStyle="1" w:styleId="10">
    <w:name w:val="List Paragraph1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5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3">
    <w:name w:val="批注框文本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administrator</Company>
  <Pages>1</Pages>
  <Words>285</Words>
  <Characters>1625</Characters>
  <Lines>13</Lines>
  <Paragraphs>3</Paragraphs>
  <TotalTime>0</TotalTime>
  <ScaleCrop>false</ScaleCrop>
  <LinksUpToDate>false</LinksUpToDate>
  <CharactersWithSpaces>1907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2016-03-24T14:05:00Z</dcterms:created>
  <dc:creator>administrator</dc:creator>
  <cp:lastModifiedBy>李涛</cp:lastModifiedBy>
  <cp:lastPrinted>2016-04-06T02:10:00Z</cp:lastPrinted>
  <dcterms:modified xsi:type="dcterms:W3CDTF">2016-04-08T05:36:59Z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