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240" w:beforeAutospacing="0" w:after="240" w:afterAutospacing="0"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视觉传达设计专业202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届本科毕业生毕业论文</w:t>
      </w:r>
    </w:p>
    <w:p>
      <w:pPr>
        <w:pStyle w:val="5"/>
        <w:shd w:val="clear" w:color="auto" w:fill="FFFFFF"/>
        <w:spacing w:before="240" w:beforeAutospacing="0" w:after="240" w:afterAutospacing="0"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开题答辩工作安排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</w:t>
      </w:r>
      <w:r>
        <w:rPr>
          <w:rFonts w:hint="eastAsia" w:ascii="仿宋" w:hAnsi="仿宋" w:eastAsia="仿宋"/>
          <w:sz w:val="28"/>
          <w:szCs w:val="28"/>
          <w:lang w:eastAsia="zh-CN"/>
        </w:rPr>
        <w:t>视觉传达设计</w:t>
      </w:r>
      <w:r>
        <w:rPr>
          <w:rFonts w:hint="eastAsia" w:ascii="仿宋" w:hAnsi="仿宋" w:eastAsia="仿宋"/>
          <w:sz w:val="28"/>
          <w:szCs w:val="28"/>
        </w:rPr>
        <w:t>专业本科毕业论文撰写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质量</w:t>
      </w:r>
      <w:r>
        <w:rPr>
          <w:rFonts w:hint="eastAsia" w:ascii="仿宋" w:hAnsi="仿宋" w:eastAsia="仿宋"/>
          <w:sz w:val="28"/>
          <w:szCs w:val="28"/>
        </w:rPr>
        <w:t>，保证毕业论文撰写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进度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毕业设计创作</w:t>
      </w:r>
      <w:r>
        <w:rPr>
          <w:rFonts w:hint="eastAsia" w:ascii="仿宋" w:hAnsi="仿宋" w:eastAsia="仿宋"/>
          <w:sz w:val="28"/>
          <w:szCs w:val="28"/>
        </w:rPr>
        <w:t>进度确保毕业论文选题及内容科学合理，现将202</w:t>
      </w:r>
      <w:r>
        <w:rPr>
          <w:rFonts w:hint="default" w:ascii="仿宋" w:hAnsi="仿宋" w:eastAsia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届本科生毕业论文开题答辩工作有关事项通知如下：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时间安排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Hlk60305857"/>
      <w:r>
        <w:rPr>
          <w:rFonts w:hint="eastAsia" w:ascii="仿宋" w:hAnsi="仿宋" w:eastAsia="仿宋"/>
          <w:sz w:val="28"/>
          <w:szCs w:val="28"/>
        </w:rPr>
        <w:t>本次汇报的进行时间为202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r>
        <w:rPr>
          <w:rFonts w:hint="eastAsia" w:ascii="仿宋" w:hAnsi="仿宋" w:eastAsia="仿宋"/>
          <w:sz w:val="28"/>
          <w:szCs w:val="28"/>
        </w:rPr>
        <w:t>-3日，上午9: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组织形式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本届毕业论文开题汇报工作共设立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个小组（见下表）。其中： </w:t>
      </w:r>
      <w:r>
        <w:rPr>
          <w:rFonts w:ascii="仿宋" w:hAnsi="仿宋" w:eastAsia="仿宋"/>
          <w:sz w:val="28"/>
          <w:szCs w:val="28"/>
        </w:rPr>
        <w:t>A</w:t>
      </w:r>
      <w:r>
        <w:rPr>
          <w:rFonts w:hint="eastAsia" w:ascii="仿宋" w:hAnsi="仿宋" w:eastAsia="仿宋"/>
          <w:sz w:val="28"/>
          <w:szCs w:val="28"/>
        </w:rPr>
        <w:t>、B、C组答辩时间为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日，D组为1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月3日，学生应以个人为单位进行毕业论文选题、写作提纲及写作思路汇报。各小组原则上应于20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日前完成开题答辩工作。如时间有所调整，应提前书面报教学办备案。（分组名单见附件）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tbl>
      <w:tblPr>
        <w:tblStyle w:val="7"/>
        <w:tblW w:w="0" w:type="auto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205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28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A组: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石璨、兰婷、黄山、许芊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文济楼301教室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学生等候地点：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文济楼304教室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28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B组：祁璇 、张腾、石力文、崔哲荣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文济楼302教室</w:t>
            </w:r>
          </w:p>
        </w:tc>
        <w:tc>
          <w:tcPr>
            <w:tcW w:w="1845" w:type="dxa"/>
            <w:vMerge w:val="continue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28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C组: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马志远、金度勋 、王乾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、黄喜雨、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文济楼303教室</w:t>
            </w:r>
          </w:p>
        </w:tc>
        <w:tc>
          <w:tcPr>
            <w:tcW w:w="1845" w:type="dxa"/>
            <w:vMerge w:val="continue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28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D组：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王旻譞、伍婷、涂焰、黄山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文济楼301教室</w:t>
            </w:r>
          </w:p>
        </w:tc>
        <w:tc>
          <w:tcPr>
            <w:tcW w:w="1845" w:type="dxa"/>
            <w:vMerge w:val="continue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答辩要求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1.开题答辩前，学生需根据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视觉传达设计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专业本科毕业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Hans"/>
        </w:rPr>
        <w:t>论文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要求提交毕业论文开题报告书（见附件）；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2.开题答辩时，学生须对论文的研究目的及意义、本选题的国内外研究状况综述、本选题研究的主要内容及写作提纲、完成措施及进度安排等制作PPT并进行5分钟以内的陈述；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毕业论文选题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汇报（PPT）：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）论文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题目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：《 》；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）选题研究的目的及意义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研究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背景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研究目的、研究意义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bookmarkStart w:id="1" w:name="_Hlk88237447"/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3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  <w:bookmarkEnd w:id="1"/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国内外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研究状况综述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）本选题研究的主要内容：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研究内容、研究思路及方法概述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）论文写作提纲（需细化到三级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标题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）创新点。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导师组提问范畴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论文选题的科学性及研究价值；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（2）与选题相关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的基础理论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研究现状；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研究框架及研究方法的合理性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论文提纲的科学性及规范性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。 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Calibri" w:hAnsi="Calibri" w:eastAsia="仿宋" w:cs="Calibri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视觉传达设</w:t>
      </w:r>
      <w:r>
        <w:rPr>
          <w:rFonts w:hint="eastAsia" w:ascii="Calibri" w:hAnsi="Calibri" w:eastAsia="仿宋" w:cs="Calibri"/>
          <w:color w:val="333333"/>
          <w:kern w:val="0"/>
          <w:sz w:val="28"/>
          <w:szCs w:val="28"/>
          <w:lang w:eastAsia="zh-CN"/>
        </w:rPr>
        <w:t>计</w:t>
      </w:r>
      <w:r>
        <w:rPr>
          <w:rFonts w:hint="eastAsia" w:ascii="Calibri" w:hAnsi="Calibri" w:eastAsia="仿宋" w:cs="Calibri"/>
          <w:color w:val="333333"/>
          <w:kern w:val="0"/>
          <w:sz w:val="28"/>
          <w:szCs w:val="28"/>
        </w:rPr>
        <w:t>专业可根据专业特点，进一步细化完善答辩工作流程和要求，由各组秘书做好开题答辩记录工作。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注意事项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为保持工作秩序，</w:t>
      </w:r>
      <w:r>
        <w:rPr>
          <w:rFonts w:hint="eastAsia" w:ascii="仿宋" w:hAnsi="仿宋" w:eastAsia="仿宋"/>
          <w:sz w:val="28"/>
          <w:szCs w:val="28"/>
        </w:rPr>
        <w:t>请提前调试好电脑设备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陈述和回答老师提问时应举止大方、态度从容。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无故没有按时到场的同学，结果记为“不通过”。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没有通过本次毕业论文汇报的同学，应第一时间向导师反馈审查小组提出的修改意见。导师须敦促学生在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2021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日内完成再次修改。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通过答辩的同学需在导师的指导下，在毕业论文管理系统中上传开题报告，逾期将影响毕业审查结果。最终毕业论文题目、提纲等应与开题答辩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展示内容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相一致，不得擅自更改，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否则视为无效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.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视觉传达设计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教研室将学生的“毕业论文开题报告书”、“毕业论文开题答辩记录表”作为重要教学档案，归档留存。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. 各小组秘书应在开题答辩前一周，将答辩时间和地点送教学办备案；教学办将对各小组的开题答辩进行检查指导。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  <w:t>五、毕业论文工作主要时间节点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日前，完成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论文、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毕业设计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选题与开题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答辩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17、18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日前，提交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论文初稿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与毕业设计初次审查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17、18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日前，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进行毕业论文与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设计的中期审查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2022年3月17、18日前，完成毕业设计最终审查工作；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2022年4月14、15日前，完成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论文定稿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毕业设计定稿审查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工作；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年5月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14、15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日前，完成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论文答辩；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年6月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日前，完成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毕业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论文评优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firstLine="475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firstLine="5060" w:firstLineChars="18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Style w:val="9"/>
          <w:rFonts w:hint="eastAsia" w:ascii="仿宋" w:hAnsi="仿宋" w:eastAsia="仿宋"/>
          <w:sz w:val="28"/>
          <w:szCs w:val="28"/>
        </w:rPr>
        <w:t>视觉传达设计教研室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1124" w:firstLine="562" w:firstLineChars="200"/>
        <w:jc w:val="right"/>
        <w:rPr>
          <w:rFonts w:ascii="仿宋" w:hAnsi="仿宋" w:eastAsia="仿宋"/>
          <w:sz w:val="22"/>
        </w:rPr>
      </w:pPr>
      <w:r>
        <w:rPr>
          <w:rStyle w:val="9"/>
          <w:rFonts w:hint="eastAsia" w:ascii="仿宋" w:hAnsi="仿宋" w:eastAsia="仿宋"/>
          <w:sz w:val="28"/>
          <w:szCs w:val="28"/>
        </w:rPr>
        <w:t>202</w:t>
      </w:r>
      <w:r>
        <w:rPr>
          <w:rStyle w:val="9"/>
          <w:rFonts w:ascii="仿宋" w:hAnsi="仿宋" w:eastAsia="仿宋"/>
          <w:sz w:val="28"/>
          <w:szCs w:val="28"/>
        </w:rPr>
        <w:t>1</w:t>
      </w:r>
      <w:r>
        <w:rPr>
          <w:rStyle w:val="9"/>
          <w:rFonts w:hint="eastAsia" w:ascii="仿宋" w:hAnsi="仿宋" w:eastAsia="仿宋"/>
          <w:sz w:val="28"/>
          <w:szCs w:val="28"/>
        </w:rPr>
        <w:t>年1</w:t>
      </w:r>
      <w:r>
        <w:rPr>
          <w:rStyle w:val="9"/>
          <w:rFonts w:ascii="仿宋" w:hAnsi="仿宋" w:eastAsia="仿宋"/>
          <w:sz w:val="28"/>
          <w:szCs w:val="28"/>
        </w:rPr>
        <w:t>1</w:t>
      </w:r>
      <w:r>
        <w:rPr>
          <w:rStyle w:val="9"/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2"/>
        </w:rPr>
        <w:br w:type="page"/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附件：分组名单</w:t>
      </w:r>
    </w:p>
    <w:tbl>
      <w:tblPr>
        <w:tblStyle w:val="6"/>
        <w:tblW w:w="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87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郇逸天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王吉烜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苏正浩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王咏琦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巩固然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刘祥念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张新凯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张一佳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曹露元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马文茜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汪锋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任汝勤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孙浩翔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程莲华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余晓清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黄语萱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余亮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谭玉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罗涵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叶莎莎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胡思瑶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付怡珺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高雨轩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郦奕文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鲁芸菲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宁国栋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陆佳妮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张雯茜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袁菁菁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张雨萍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彭诗喃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动漫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夏思果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兰琦盛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陈宏圣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徐杨焯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黎彦希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魏沛窈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陈雨寒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何卉旻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蓝海月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沈晗丹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张蓝月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赵思淇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王筱淇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刘思彤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张涵钰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姬婉婷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谷雨潞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魏宏珂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王佳颖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秦轲楠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薛美玉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董青芸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郑欣荣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张京雷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翟宜如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李佳韵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孙诗杰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沈俐俐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动漫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王汐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岳明静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陈雅丽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汪睿琦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赵振洋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毛帅洁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张宸浩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王志轩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周欣雅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刘晓玥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龙艺菲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李时汇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孙淇杰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吴芃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段佳豪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李琴瑶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黄之芫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林书涵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郭思懿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陈悠然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干俊杰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吕姝颐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戴卓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郑冰婕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王赛雅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杨力颖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杨诗琦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王小茉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李泽域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贲梦云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刘正冉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张隽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潘星伊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张晓珊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李渊珑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谢彤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谢韵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范佩怡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胡潇逸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吴曲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陈玉莹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陈欣彤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刘李慧梓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李诗雪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甘晓兰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肖欣怡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杨宛霖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李朵莱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李梦菲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罗莹萱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刘书含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徐紫璇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何诗哲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彭云霄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宋文青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张灵雪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黄文翰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动漫1803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color w:val="333333"/>
          <w:kern w:val="0"/>
          <w:sz w:val="2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right="1124" w:firstLine="440" w:firstLineChars="200"/>
        <w:jc w:val="right"/>
        <w:rPr>
          <w:rFonts w:ascii="仿宋" w:hAnsi="仿宋" w:eastAsia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62235"/>
    <w:multiLevelType w:val="multilevel"/>
    <w:tmpl w:val="32162235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8D7B562"/>
    <w:multiLevelType w:val="singleLevel"/>
    <w:tmpl w:val="38D7B5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87"/>
    <w:rsid w:val="00000E19"/>
    <w:rsid w:val="0003185C"/>
    <w:rsid w:val="00036D49"/>
    <w:rsid w:val="000B42DF"/>
    <w:rsid w:val="000C28B3"/>
    <w:rsid w:val="000E7168"/>
    <w:rsid w:val="00112EBB"/>
    <w:rsid w:val="00124ACD"/>
    <w:rsid w:val="0015345C"/>
    <w:rsid w:val="001921A2"/>
    <w:rsid w:val="001928F8"/>
    <w:rsid w:val="001E6DB0"/>
    <w:rsid w:val="0024023B"/>
    <w:rsid w:val="00272F8C"/>
    <w:rsid w:val="00283F28"/>
    <w:rsid w:val="002D7690"/>
    <w:rsid w:val="00323F3C"/>
    <w:rsid w:val="003315FD"/>
    <w:rsid w:val="00353D83"/>
    <w:rsid w:val="00355B48"/>
    <w:rsid w:val="003924AF"/>
    <w:rsid w:val="00392A89"/>
    <w:rsid w:val="003B316D"/>
    <w:rsid w:val="00422B02"/>
    <w:rsid w:val="00426EC1"/>
    <w:rsid w:val="0043426C"/>
    <w:rsid w:val="00465925"/>
    <w:rsid w:val="004669F3"/>
    <w:rsid w:val="00466ADA"/>
    <w:rsid w:val="00471BF6"/>
    <w:rsid w:val="004A29F5"/>
    <w:rsid w:val="004E1D04"/>
    <w:rsid w:val="004F0F9C"/>
    <w:rsid w:val="00504605"/>
    <w:rsid w:val="005A5B74"/>
    <w:rsid w:val="005D6178"/>
    <w:rsid w:val="00626D2E"/>
    <w:rsid w:val="00636F84"/>
    <w:rsid w:val="006473A3"/>
    <w:rsid w:val="0065216A"/>
    <w:rsid w:val="006D185C"/>
    <w:rsid w:val="00701EC6"/>
    <w:rsid w:val="007054EB"/>
    <w:rsid w:val="00855958"/>
    <w:rsid w:val="008A382B"/>
    <w:rsid w:val="008B2F39"/>
    <w:rsid w:val="00912FC7"/>
    <w:rsid w:val="00922D72"/>
    <w:rsid w:val="00935C5D"/>
    <w:rsid w:val="009464B5"/>
    <w:rsid w:val="00980C25"/>
    <w:rsid w:val="00992887"/>
    <w:rsid w:val="009A0224"/>
    <w:rsid w:val="009B2C57"/>
    <w:rsid w:val="009F165C"/>
    <w:rsid w:val="00A24F1D"/>
    <w:rsid w:val="00A37111"/>
    <w:rsid w:val="00A70F2E"/>
    <w:rsid w:val="00A81EA1"/>
    <w:rsid w:val="00A900A9"/>
    <w:rsid w:val="00A958C3"/>
    <w:rsid w:val="00B769BD"/>
    <w:rsid w:val="00BB2221"/>
    <w:rsid w:val="00C826EC"/>
    <w:rsid w:val="00CB5D0C"/>
    <w:rsid w:val="00CD4A97"/>
    <w:rsid w:val="00CE5F6C"/>
    <w:rsid w:val="00D2045A"/>
    <w:rsid w:val="00D76619"/>
    <w:rsid w:val="00D8293A"/>
    <w:rsid w:val="00DA223D"/>
    <w:rsid w:val="00DE23B4"/>
    <w:rsid w:val="00E00720"/>
    <w:rsid w:val="00E10BE8"/>
    <w:rsid w:val="00E632D8"/>
    <w:rsid w:val="00EA020A"/>
    <w:rsid w:val="00EC5555"/>
    <w:rsid w:val="00EF4754"/>
    <w:rsid w:val="00F32767"/>
    <w:rsid w:val="00FF0C6B"/>
    <w:rsid w:val="01D575C1"/>
    <w:rsid w:val="02313F99"/>
    <w:rsid w:val="04461351"/>
    <w:rsid w:val="0D076E07"/>
    <w:rsid w:val="1672695F"/>
    <w:rsid w:val="1C1A0824"/>
    <w:rsid w:val="1D333797"/>
    <w:rsid w:val="20291108"/>
    <w:rsid w:val="2BB05404"/>
    <w:rsid w:val="37CA7AF2"/>
    <w:rsid w:val="38C91963"/>
    <w:rsid w:val="4A276183"/>
    <w:rsid w:val="4B942730"/>
    <w:rsid w:val="50560388"/>
    <w:rsid w:val="54176AAA"/>
    <w:rsid w:val="554A7DEE"/>
    <w:rsid w:val="638427A4"/>
    <w:rsid w:val="63F171CC"/>
    <w:rsid w:val="6CAE76D6"/>
    <w:rsid w:val="6D164F40"/>
    <w:rsid w:val="713559D7"/>
    <w:rsid w:val="72655A41"/>
    <w:rsid w:val="75D41035"/>
    <w:rsid w:val="790C574D"/>
    <w:rsid w:val="79320E09"/>
    <w:rsid w:val="7D6A3105"/>
    <w:rsid w:val="7E2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</Words>
  <Characters>2340</Characters>
  <Lines>19</Lines>
  <Paragraphs>5</Paragraphs>
  <TotalTime>12</TotalTime>
  <ScaleCrop>false</ScaleCrop>
  <LinksUpToDate>false</LinksUpToDate>
  <CharactersWithSpaces>2745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2021-11-19T09:25:00Z</dcterms:created>
  <dc:creator>Admin</dc:creator>
  <cp:lastModifiedBy>祁璇</cp:lastModifiedBy>
  <dcterms:modified xsi:type="dcterms:W3CDTF">2021-11-23T01:42:53Z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30AF58F198FD4B6B88BB98E7BC570991</vt:lpwstr>
  </property>
</Properties>
</file>