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9D2EA">
      <w:pPr>
        <w:spacing w:line="530" w:lineRule="exact"/>
        <w:jc w:val="left"/>
        <w:rPr>
          <w:rFonts w:hint="eastAsia" w:ascii="华光小标宋_CNKI" w:hAnsi="华光小标宋_CNKI" w:eastAsia="华光小标宋_CNKI" w:cs="华光小标宋_CNKI"/>
          <w:sz w:val="44"/>
          <w:szCs w:val="44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1</w:t>
      </w:r>
    </w:p>
    <w:p w14:paraId="3567DA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hint="eastAsia" w:ascii="华光小标宋_CNKI" w:hAnsi="华光小标宋_CNKI" w:eastAsia="华光小标宋_CNKI" w:cs="华光小标宋_CNKI"/>
          <w:sz w:val="44"/>
          <w:szCs w:val="44"/>
        </w:rPr>
      </w:pPr>
      <w:r>
        <w:rPr>
          <w:rFonts w:hint="eastAsia" w:ascii="华光小标宋_CNKI" w:hAnsi="华光小标宋_CNKI" w:eastAsia="华光小标宋_CNKI" w:cs="华光小标宋_CNKI"/>
          <w:sz w:val="44"/>
          <w:szCs w:val="44"/>
        </w:rPr>
        <w:t>第三届全国大学生职业规划大赛</w:t>
      </w:r>
    </w:p>
    <w:p w14:paraId="40F322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hint="eastAsia" w:ascii="华光小标宋_CNKI" w:hAnsi="华光小标宋_CNKI" w:eastAsia="华光小标宋_CNKI" w:cs="华光小标宋_CNKI"/>
          <w:sz w:val="44"/>
          <w:szCs w:val="44"/>
        </w:rPr>
      </w:pPr>
      <w:r>
        <w:rPr>
          <w:rFonts w:hint="eastAsia" w:ascii="华光小标宋_CNKI" w:hAnsi="华光小标宋_CNKI" w:eastAsia="华光小标宋_CNKI" w:cs="华光小标宋_CNKI"/>
          <w:sz w:val="44"/>
          <w:szCs w:val="44"/>
        </w:rPr>
        <w:t>成长赛道方案</w:t>
      </w:r>
    </w:p>
    <w:p w14:paraId="5586D938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eastAsia="黑体" w:cs="仿宋_GB2312"/>
          <w:bCs/>
          <w:color w:val="000000"/>
          <w:szCs w:val="32"/>
        </w:rPr>
      </w:pPr>
    </w:p>
    <w:p w14:paraId="5DD044AA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一、比赛内容</w:t>
      </w:r>
    </w:p>
    <w:p w14:paraId="580B50A1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ascii="仿宋_GB2312" w:hAnsi="仿宋_GB2312" w:cs="仿宋_GB2312"/>
          <w:bCs/>
          <w:color w:val="000000"/>
          <w:szCs w:val="32"/>
        </w:rPr>
      </w:pPr>
      <w:r>
        <w:rPr>
          <w:rFonts w:hint="eastAsia" w:ascii="仿宋_GB2312" w:hAnsi="仿宋_GB2312" w:cs="仿宋_GB2312"/>
          <w:bCs/>
          <w:color w:val="000000"/>
          <w:szCs w:val="32"/>
        </w:rPr>
        <w:t>考察学生</w:t>
      </w:r>
      <w:r>
        <w:rPr>
          <w:rFonts w:hint="eastAsia" w:cs="仿宋_GB2312"/>
        </w:rPr>
        <w:t>树立生涯发展理念并合理设定职业目标</w:t>
      </w:r>
      <w:r>
        <w:rPr>
          <w:rFonts w:hint="eastAsia" w:cs="仿宋_GB2312"/>
          <w:color w:val="000000"/>
          <w:szCs w:val="32"/>
        </w:rPr>
        <w:t>、围绕实现目标持续行动并不断调整的成长过程</w:t>
      </w:r>
      <w:r>
        <w:rPr>
          <w:rFonts w:hint="eastAsia" w:cs="仿宋_GB2312"/>
        </w:rPr>
        <w:t>，通过学习实践提升综合素质和专业能力，体现正确的择业就业观念。参赛学生可获得实习机会。</w:t>
      </w:r>
    </w:p>
    <w:p w14:paraId="2F27F91B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二、参赛组别和对象</w:t>
      </w:r>
    </w:p>
    <w:p w14:paraId="59BFCD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  <w:bCs/>
          <w:color w:val="000000"/>
          <w:szCs w:val="32"/>
        </w:rPr>
      </w:pPr>
      <w:r>
        <w:rPr>
          <w:rFonts w:hint="eastAsia" w:ascii="仿宋_GB2312" w:hAnsi="仿宋_GB2312" w:cs="仿宋_GB2312"/>
          <w:bCs/>
          <w:color w:val="000000"/>
          <w:szCs w:val="32"/>
        </w:rPr>
        <w:t>成长赛道设高教组和职教组，</w:t>
      </w:r>
      <w:r>
        <w:rPr>
          <w:rFonts w:hint="eastAsia" w:ascii="仿宋_GB2312" w:hAnsi="仿宋_GB2312" w:cs="仿宋_GB2312"/>
        </w:rPr>
        <w:t>参赛对象为普通</w:t>
      </w:r>
      <w:r>
        <w:rPr>
          <w:rFonts w:hint="eastAsia" w:ascii="仿宋_GB2312" w:hAnsi="仿宋_GB2312" w:cs="仿宋_GB2312"/>
          <w:bCs/>
          <w:color w:val="000000"/>
          <w:szCs w:val="32"/>
        </w:rPr>
        <w:t>高等学校全日制</w:t>
      </w:r>
      <w:r>
        <w:rPr>
          <w:rFonts w:hint="eastAsia" w:cs="仿宋_GB2312"/>
        </w:rPr>
        <w:t>本、专科非毕业</w:t>
      </w:r>
      <w:r>
        <w:rPr>
          <w:rFonts w:hint="eastAsia" w:ascii="仿宋_GB2312" w:hAnsi="仿宋_GB2312" w:cs="仿宋_GB2312"/>
          <w:bCs/>
          <w:color w:val="000000"/>
          <w:szCs w:val="32"/>
        </w:rPr>
        <w:t>年级在校学生。高教组主要面向普通</w:t>
      </w:r>
      <w:r>
        <w:rPr>
          <w:rFonts w:hint="eastAsia" w:ascii="仿宋_GB2312" w:hAnsi="仿宋_GB2312" w:cs="仿宋_GB2312"/>
          <w:color w:val="000000"/>
          <w:szCs w:val="32"/>
        </w:rPr>
        <w:t>本科非毕业年级学生，</w:t>
      </w:r>
      <w:r>
        <w:rPr>
          <w:rFonts w:hint="eastAsia" w:ascii="仿宋_GB2312" w:hAnsi="仿宋_GB2312" w:cs="仿宋_GB2312"/>
          <w:bCs/>
          <w:color w:val="000000"/>
          <w:szCs w:val="32"/>
        </w:rPr>
        <w:t>职教组主要面向职教本科、高职（专科）非毕业年级学生</w:t>
      </w:r>
      <w:r>
        <w:rPr>
          <w:rFonts w:hint="eastAsia" w:cs="仿宋_GB2312"/>
          <w:bCs/>
          <w:color w:val="000000"/>
          <w:szCs w:val="32"/>
        </w:rPr>
        <w:t>。</w:t>
      </w:r>
    </w:p>
    <w:p w14:paraId="741B03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三、参赛材料要求</w:t>
      </w:r>
      <w:bookmarkStart w:id="0" w:name="_GoBack"/>
      <w:bookmarkEnd w:id="0"/>
    </w:p>
    <w:p w14:paraId="659D26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选手在大赛平台（</w:t>
      </w:r>
      <w:r>
        <w:rPr>
          <w:spacing w:val="-6"/>
        </w:rPr>
        <w:t>网址：</w:t>
      </w:r>
      <w:r>
        <w:t>zgs.chsi.com.cn）</w:t>
      </w:r>
      <w:r>
        <w:rPr>
          <w:rFonts w:hint="eastAsia" w:cs="仿宋_GB2312"/>
        </w:rPr>
        <w:t>提交以下参赛材料：</w:t>
      </w:r>
    </w:p>
    <w:p w14:paraId="348617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  <w:color w:val="000000"/>
          <w:szCs w:val="32"/>
        </w:rPr>
        <w:t>（一）生涯发展</w:t>
      </w:r>
      <w:r>
        <w:rPr>
          <w:rFonts w:hint="eastAsia" w:ascii="仿宋_GB2312" w:hAnsi="仿宋_GB2312" w:cs="仿宋_GB2312"/>
          <w:color w:val="000000"/>
          <w:szCs w:val="32"/>
        </w:rPr>
        <w:t>报告：介绍设定职业目标的过程；实现职业目标的具体行动和成效；职业目标及行动的动态调整等（</w:t>
      </w:r>
      <w:r>
        <w:t>PDF</w:t>
      </w:r>
      <w:r>
        <w:rPr>
          <w:rFonts w:hint="eastAsia" w:ascii="仿宋_GB2312" w:hAnsi="仿宋_GB2312" w:cs="仿宋_GB2312"/>
        </w:rPr>
        <w:t>格式，文字不超过</w:t>
      </w:r>
      <w:r>
        <w:t>2000</w:t>
      </w:r>
      <w:r>
        <w:rPr>
          <w:rFonts w:hint="eastAsia" w:ascii="仿宋_GB2312" w:hAnsi="仿宋_GB2312" w:cs="仿宋_GB2312"/>
        </w:rPr>
        <w:t>字，图表不超</w:t>
      </w:r>
      <w:r>
        <w:t>过5</w:t>
      </w:r>
      <w:r>
        <w:rPr>
          <w:rFonts w:hint="eastAsia"/>
        </w:rPr>
        <w:t>张</w:t>
      </w:r>
      <w:r>
        <w:rPr>
          <w:rFonts w:hint="eastAsia" w:cs="仿宋_GB2312"/>
          <w:color w:val="000000"/>
          <w:szCs w:val="32"/>
        </w:rPr>
        <w:t>）</w:t>
      </w:r>
      <w:r>
        <w:rPr>
          <w:rFonts w:hint="eastAsia" w:cs="仿宋_GB2312"/>
        </w:rPr>
        <w:t>。</w:t>
      </w:r>
    </w:p>
    <w:p w14:paraId="0FC715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（二）生涯发展展示（PPT格式，不超过50MB；可加入视频）。</w:t>
      </w:r>
    </w:p>
    <w:p w14:paraId="53E806F5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四、比赛环节</w:t>
      </w:r>
    </w:p>
    <w:p w14:paraId="0BB3A6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  <w:color w:val="000000"/>
          <w:szCs w:val="32"/>
        </w:rPr>
      </w:pPr>
      <w:r>
        <w:rPr>
          <w:rFonts w:hint="eastAsia" w:cs="仿宋_GB2312"/>
          <w:color w:val="000000"/>
          <w:szCs w:val="32"/>
        </w:rPr>
        <w:t>成长赛道设主题陈述、评委提问和天降实习</w:t>
      </w:r>
      <w:r>
        <w:rPr>
          <w:rFonts w:cs="仿宋_GB2312"/>
          <w:color w:val="000000"/>
          <w:szCs w:val="32"/>
        </w:rPr>
        <w:t>offer</w:t>
      </w:r>
      <w:r>
        <w:rPr>
          <w:rFonts w:hint="eastAsia" w:cs="仿宋_GB2312"/>
          <w:color w:val="000000"/>
          <w:szCs w:val="32"/>
        </w:rPr>
        <w:t>（实习意向）环节。</w:t>
      </w:r>
      <w:r>
        <w:rPr>
          <w:rFonts w:hint="eastAsia" w:ascii="仿宋_GB2312" w:hAnsi="仿宋_GB2312" w:cs="仿宋_GB2312"/>
          <w:color w:val="000000"/>
          <w:szCs w:val="32"/>
        </w:rPr>
        <w:t>各环节根据实际情况可适当调整。</w:t>
      </w:r>
    </w:p>
    <w:p w14:paraId="3510AD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  <w:color w:val="000000"/>
          <w:szCs w:val="32"/>
        </w:rPr>
      </w:pPr>
      <w:r>
        <w:rPr>
          <w:rFonts w:hint="eastAsia" w:cs="仿宋_GB2312"/>
        </w:rPr>
        <w:t>（一）主题陈述（7分钟）：</w:t>
      </w:r>
      <w:r>
        <w:rPr>
          <w:rFonts w:hint="eastAsia" w:cs="仿宋_GB2312"/>
          <w:color w:val="000000"/>
          <w:szCs w:val="32"/>
        </w:rPr>
        <w:t>选手结合生涯发展报告作陈述。</w:t>
      </w:r>
    </w:p>
    <w:p w14:paraId="05DFFE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  <w:color w:val="000000"/>
          <w:szCs w:val="32"/>
        </w:rPr>
      </w:pPr>
      <w:r>
        <w:rPr>
          <w:rFonts w:hint="eastAsia" w:cs="仿宋_GB2312"/>
        </w:rPr>
        <w:t>（二）评委提问（5分钟）：</w:t>
      </w:r>
      <w:r>
        <w:rPr>
          <w:rFonts w:hint="eastAsia" w:cs="仿宋_GB2312"/>
          <w:color w:val="000000"/>
          <w:szCs w:val="32"/>
        </w:rPr>
        <w:t>评委结合选手陈述和现场表现提问。</w:t>
      </w:r>
    </w:p>
    <w:p w14:paraId="4FBC88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ascii="仿宋_GB2312" w:hAnsi="仿宋_GB2312" w:cs="仿宋_GB2312"/>
          <w:color w:val="000000"/>
          <w:szCs w:val="32"/>
        </w:rPr>
      </w:pPr>
      <w:r>
        <w:rPr>
          <w:rFonts w:hint="eastAsia" w:cs="仿宋_GB2312"/>
        </w:rPr>
        <w:t>（三）天降实习offer（2分钟）：</w:t>
      </w:r>
      <w:r>
        <w:rPr>
          <w:rFonts w:hint="eastAsia" w:ascii="仿宋_GB2312" w:hAnsi="仿宋_GB2312" w:cs="仿宋_GB2312"/>
          <w:color w:val="000000"/>
          <w:szCs w:val="32"/>
        </w:rPr>
        <w:t>用人单位根据选手表现，决定是否给出实习意向，并对选手</w:t>
      </w:r>
      <w:r>
        <w:rPr>
          <w:rFonts w:hint="eastAsia" w:ascii="仿宋_GB2312" w:hAnsi="仿宋_GB2312" w:cs="仿宋_GB2312"/>
        </w:rPr>
        <w:t>作</w:t>
      </w:r>
      <w:r>
        <w:rPr>
          <w:rFonts w:hint="eastAsia" w:ascii="仿宋_GB2312" w:hAnsi="仿宋_GB2312" w:cs="仿宋_GB2312"/>
          <w:color w:val="000000"/>
          <w:szCs w:val="32"/>
        </w:rPr>
        <w:t>点评。</w:t>
      </w:r>
    </w:p>
    <w:p w14:paraId="7D381CC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评审标准</w:t>
      </w:r>
    </w:p>
    <w:tbl>
      <w:tblPr>
        <w:tblStyle w:val="3"/>
        <w:tblpPr w:leftFromText="180" w:rightFromText="180" w:vertAnchor="text" w:horzAnchor="page" w:tblpX="1875" w:tblpY="68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6358"/>
        <w:gridCol w:w="803"/>
      </w:tblGrid>
      <w:tr w14:paraId="24A23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97" w:type="pct"/>
            <w:vAlign w:val="center"/>
          </w:tcPr>
          <w:p w14:paraId="614E0132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指标</w:t>
            </w:r>
          </w:p>
        </w:tc>
        <w:tc>
          <w:tcPr>
            <w:tcW w:w="3731" w:type="pct"/>
            <w:vAlign w:val="center"/>
          </w:tcPr>
          <w:p w14:paraId="6690B641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14:paraId="047B19CE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分值</w:t>
            </w:r>
          </w:p>
        </w:tc>
      </w:tr>
      <w:tr w14:paraId="728ED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797" w:type="pct"/>
            <w:vMerge w:val="restart"/>
            <w:vAlign w:val="center"/>
          </w:tcPr>
          <w:p w14:paraId="02220494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职业目标</w:t>
            </w:r>
          </w:p>
        </w:tc>
        <w:tc>
          <w:tcPr>
            <w:tcW w:w="3731" w:type="pct"/>
            <w:vAlign w:val="center"/>
          </w:tcPr>
          <w:p w14:paraId="558DC72F">
            <w:pPr>
              <w:numPr>
                <w:ilvl w:val="255"/>
                <w:numId w:val="0"/>
              </w:num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职业目标能够将个人理想与国家需要、经济社会发展相结合，体现正确的择业就业观念</w:t>
            </w:r>
          </w:p>
        </w:tc>
        <w:tc>
          <w:tcPr>
            <w:tcW w:w="471" w:type="pct"/>
            <w:vMerge w:val="restart"/>
            <w:vAlign w:val="center"/>
          </w:tcPr>
          <w:p w14:paraId="02FF107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</w:t>
            </w:r>
          </w:p>
        </w:tc>
      </w:tr>
      <w:tr w14:paraId="7F579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exact"/>
        </w:trPr>
        <w:tc>
          <w:tcPr>
            <w:tcW w:w="797" w:type="pct"/>
            <w:vMerge w:val="continue"/>
            <w:vAlign w:val="center"/>
          </w:tcPr>
          <w:p w14:paraId="245C99D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731" w:type="pct"/>
            <w:vAlign w:val="center"/>
          </w:tcPr>
          <w:p w14:paraId="28C418C8">
            <w:pPr>
              <w:numPr>
                <w:ilvl w:val="255"/>
                <w:numId w:val="0"/>
              </w:num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结合所学专业多渠道了解相关行业发展趋势和就业市场需求，综合分析个人能力优势、兴趣特长、成长路径等，合理设定职业目标或方向</w:t>
            </w:r>
          </w:p>
        </w:tc>
        <w:tc>
          <w:tcPr>
            <w:tcW w:w="471" w:type="pct"/>
            <w:vMerge w:val="continue"/>
            <w:vAlign w:val="center"/>
          </w:tcPr>
          <w:p w14:paraId="27CCC230">
            <w:pPr>
              <w:jc w:val="center"/>
              <w:rPr>
                <w:sz w:val="28"/>
                <w:szCs w:val="28"/>
              </w:rPr>
            </w:pPr>
          </w:p>
        </w:tc>
      </w:tr>
      <w:tr w14:paraId="0793C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exact"/>
        </w:trPr>
        <w:tc>
          <w:tcPr>
            <w:tcW w:w="797" w:type="pct"/>
            <w:vMerge w:val="continue"/>
            <w:vAlign w:val="center"/>
          </w:tcPr>
          <w:p w14:paraId="468A1A8D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731" w:type="pct"/>
            <w:vAlign w:val="center"/>
          </w:tcPr>
          <w:p w14:paraId="00F6BC97"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471" w:type="pct"/>
            <w:vMerge w:val="continue"/>
            <w:vAlign w:val="center"/>
          </w:tcPr>
          <w:p w14:paraId="1BF96D52">
            <w:pPr>
              <w:jc w:val="center"/>
              <w:rPr>
                <w:sz w:val="28"/>
                <w:szCs w:val="28"/>
              </w:rPr>
            </w:pPr>
          </w:p>
        </w:tc>
      </w:tr>
      <w:tr w14:paraId="09F18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97" w:type="pct"/>
            <w:vMerge w:val="restart"/>
            <w:vAlign w:val="center"/>
          </w:tcPr>
          <w:p w14:paraId="4A60A943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学习实践行动</w:t>
            </w:r>
          </w:p>
        </w:tc>
        <w:tc>
          <w:tcPr>
            <w:tcW w:w="3731" w:type="pct"/>
            <w:vAlign w:val="center"/>
          </w:tcPr>
          <w:p w14:paraId="4CF2C7D8">
            <w:p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围绕目标职业要求，结合学校育人特色和所学专业，利用学校及社会资源开展学习实践</w:t>
            </w:r>
          </w:p>
        </w:tc>
        <w:tc>
          <w:tcPr>
            <w:tcW w:w="471" w:type="pct"/>
            <w:vMerge w:val="restart"/>
            <w:vAlign w:val="center"/>
          </w:tcPr>
          <w:p w14:paraId="268FD22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</w:t>
            </w:r>
          </w:p>
        </w:tc>
      </w:tr>
      <w:tr w14:paraId="3D925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97" w:type="pct"/>
            <w:vMerge w:val="continue"/>
            <w:vAlign w:val="center"/>
          </w:tcPr>
          <w:p w14:paraId="286E10BC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731" w:type="pct"/>
            <w:vAlign w:val="center"/>
          </w:tcPr>
          <w:p w14:paraId="2322489C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学习实践行动取得阶段性标志性成果，接近职业目标要求</w:t>
            </w:r>
          </w:p>
        </w:tc>
        <w:tc>
          <w:tcPr>
            <w:tcW w:w="471" w:type="pct"/>
            <w:vMerge w:val="continue"/>
            <w:vAlign w:val="center"/>
          </w:tcPr>
          <w:p w14:paraId="4F4F55E6">
            <w:pPr>
              <w:jc w:val="center"/>
              <w:rPr>
                <w:sz w:val="28"/>
                <w:szCs w:val="28"/>
              </w:rPr>
            </w:pPr>
          </w:p>
        </w:tc>
      </w:tr>
      <w:tr w14:paraId="2598F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797" w:type="pct"/>
            <w:vAlign w:val="center"/>
          </w:tcPr>
          <w:p w14:paraId="7FA4878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优化改进</w:t>
            </w:r>
          </w:p>
        </w:tc>
        <w:tc>
          <w:tcPr>
            <w:tcW w:w="3731" w:type="pct"/>
            <w:vAlign w:val="center"/>
          </w:tcPr>
          <w:p w14:paraId="2D1D965D">
            <w:p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及时对学习实践行动成效进行自我评估和反思，总结分析收获、不足和原因，在成长过程中对职业目标和学习实践行动路径进行动态优化</w:t>
            </w:r>
          </w:p>
        </w:tc>
        <w:tc>
          <w:tcPr>
            <w:tcW w:w="471" w:type="pct"/>
            <w:vAlign w:val="center"/>
          </w:tcPr>
          <w:p w14:paraId="4350071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</w:tr>
      <w:tr w14:paraId="223B7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97" w:type="pct"/>
            <w:shd w:val="clear" w:color="auto" w:fill="auto"/>
            <w:vAlign w:val="center"/>
          </w:tcPr>
          <w:p w14:paraId="63B29378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总分</w:t>
            </w:r>
          </w:p>
        </w:tc>
        <w:tc>
          <w:tcPr>
            <w:tcW w:w="3731" w:type="pct"/>
            <w:shd w:val="clear" w:color="auto" w:fill="auto"/>
            <w:vAlign w:val="center"/>
          </w:tcPr>
          <w:p w14:paraId="2FA51FFA">
            <w:pPr>
              <w:rPr>
                <w:sz w:val="26"/>
                <w:szCs w:val="26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7C479838">
            <w:pPr>
              <w:ind w:left="-160" w:leftChars="-50" w:right="-160" w:rightChars="-5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100</w:t>
            </w:r>
          </w:p>
        </w:tc>
      </w:tr>
    </w:tbl>
    <w:p w14:paraId="46DD4E7F"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六、奖项设置</w:t>
      </w:r>
    </w:p>
    <w:p w14:paraId="12D1C6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成长赛道</w:t>
      </w:r>
      <w:r>
        <w:rPr>
          <w:rFonts w:hint="eastAsia" w:ascii="仿宋_GB2312" w:hAnsi="仿宋_GB2312" w:cs="仿宋_GB2312"/>
          <w:color w:val="000000"/>
          <w:szCs w:val="32"/>
          <w:lang w:val="en-US" w:eastAsia="zh-CN"/>
        </w:rPr>
        <w:t>国赛</w:t>
      </w:r>
      <w:r>
        <w:rPr>
          <w:rFonts w:hint="eastAsia" w:ascii="仿宋_GB2312" w:hAnsi="仿宋_GB2312" w:cs="仿宋_GB2312"/>
          <w:color w:val="000000"/>
          <w:szCs w:val="32"/>
        </w:rPr>
        <w:t>设置金奖、银奖、铜奖，以及优秀指导教师奖等奖项。</w:t>
      </w:r>
    </w:p>
    <w:p w14:paraId="447EBC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光小标宋_CNKI">
    <w:panose1 w:val="02000500000000000000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F0804"/>
    <w:multiLevelType w:val="singleLevel"/>
    <w:tmpl w:val="FAFF080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168E7"/>
    <w:rsid w:val="44F35E64"/>
    <w:rsid w:val="5CCF41D2"/>
    <w:rsid w:val="7D11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825</Words>
  <Characters>862</Characters>
  <Lines>0</Lines>
  <Paragraphs>0</Paragraphs>
  <TotalTime>0</TotalTime>
  <ScaleCrop>false</ScaleCrop>
  <LinksUpToDate>false</LinksUpToDate>
  <CharactersWithSpaces>862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2025-11-03T03:45:00Z</dcterms:created>
  <dc:creator>郭婉钰</dc:creator>
  <cp:lastModifiedBy>郭婉钰</cp:lastModifiedBy>
  <dcterms:modified xsi:type="dcterms:W3CDTF">2025-11-06T06:28:44Z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EDC98B5D855B4B7897531D7EBB96E17C_11</vt:lpwstr>
  </property>
  <property fmtid="{D5CDD505-2E9C-101B-9397-08002B2CF9AE}" pid="4" name="KSOTemplateDocerSaveRecord">
    <vt:lpwstr>eyJoZGlkIjoiMDQzMmY4MWFlNWQwODY5MjE2MTRjYTdjMDdiZjRiYzUiLCJ1c2VySWQiOiIxNTM1Mjc0NDE3In0=</vt:lpwstr>
  </property>
</Properties>
</file>